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bookmarkStart w:id="0" w:name="_Hlk493841071"/>
      <w:bookmarkEnd w:id="0"/>
      <w:r>
        <w:t>3GPP TSG-RAN WG4</w:t>
      </w:r>
      <w:r w:rsidR="00B46DD9">
        <w:t xml:space="preserve"> #84bis</w:t>
      </w:r>
      <w:r w:rsidR="0074405B">
        <w:tab/>
      </w:r>
      <w:r w:rsidR="00A36C7F" w:rsidRPr="00A36C7F">
        <w:rPr>
          <w:sz w:val="32"/>
          <w:szCs w:val="32"/>
        </w:rPr>
        <w:t>R4-1710181</w:t>
      </w:r>
    </w:p>
    <w:p w:rsidR="0074405B" w:rsidRDefault="00C70094" w:rsidP="0074405B">
      <w:pPr>
        <w:pStyle w:val="CRCoverPage"/>
        <w:outlineLvl w:val="0"/>
        <w:rPr>
          <w:b/>
          <w:noProof/>
          <w:sz w:val="24"/>
        </w:rPr>
      </w:pPr>
      <w:r w:rsidRPr="00C70094">
        <w:rPr>
          <w:b/>
          <w:noProof/>
          <w:sz w:val="24"/>
        </w:rPr>
        <w:t>Dubrovnik</w:t>
      </w:r>
      <w:r w:rsidR="00DE7585" w:rsidRPr="00DE7585">
        <w:rPr>
          <w:b/>
          <w:noProof/>
          <w:sz w:val="24"/>
        </w:rPr>
        <w:t xml:space="preserve">, </w:t>
      </w:r>
      <w:r w:rsidRPr="00C70094">
        <w:rPr>
          <w:b/>
          <w:noProof/>
          <w:sz w:val="24"/>
        </w:rPr>
        <w:t>Croatia</w:t>
      </w:r>
      <w:r w:rsidR="00DE7585" w:rsidRPr="00DE7585">
        <w:rPr>
          <w:b/>
          <w:noProof/>
          <w:sz w:val="24"/>
        </w:rPr>
        <w:t xml:space="preserve">, </w:t>
      </w:r>
      <w:r>
        <w:rPr>
          <w:b/>
          <w:noProof/>
          <w:sz w:val="24"/>
        </w:rPr>
        <w:t>9</w:t>
      </w:r>
      <w:r w:rsidR="00DE7585" w:rsidRPr="00DE7585">
        <w:rPr>
          <w:b/>
          <w:noProof/>
          <w:sz w:val="24"/>
        </w:rPr>
        <w:t>th – 1</w:t>
      </w:r>
      <w:r>
        <w:rPr>
          <w:b/>
          <w:noProof/>
          <w:sz w:val="24"/>
        </w:rPr>
        <w:t>3</w:t>
      </w:r>
      <w:r w:rsidR="00DE7585" w:rsidRPr="00DE7585">
        <w:rPr>
          <w:b/>
          <w:noProof/>
          <w:sz w:val="24"/>
        </w:rPr>
        <w:t xml:space="preserve">th </w:t>
      </w:r>
      <w:r>
        <w:rPr>
          <w:b/>
          <w:noProof/>
          <w:sz w:val="24"/>
        </w:rPr>
        <w:t>Oct</w:t>
      </w:r>
      <w:r w:rsidR="00DE7585" w:rsidRPr="00DE7585">
        <w:rPr>
          <w:b/>
          <w:noProof/>
          <w:sz w:val="24"/>
        </w:rPr>
        <w:t xml:space="preserve">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C57E47">
        <w:rPr>
          <w:sz w:val="22"/>
          <w:szCs w:val="22"/>
          <w:lang w:val="sv-SE"/>
        </w:rPr>
        <w:t>8.19.1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313C56">
        <w:rPr>
          <w:rFonts w:hint="eastAsia"/>
          <w:sz w:val="22"/>
          <w:szCs w:val="22"/>
        </w:rPr>
        <w:t xml:space="preserve">Discussion </w:t>
      </w:r>
      <w:r w:rsidR="00313C56">
        <w:rPr>
          <w:sz w:val="22"/>
          <w:szCs w:val="22"/>
        </w:rPr>
        <w:t>on transmit diversity</w:t>
      </w:r>
      <w:r w:rsidR="00B71CB4">
        <w:rPr>
          <w:sz w:val="22"/>
          <w:szCs w:val="22"/>
        </w:rPr>
        <w:t xml:space="preserve"> impact</w:t>
      </w:r>
      <w:bookmarkStart w:id="1" w:name="_GoBack"/>
      <w:bookmarkEnd w:id="1"/>
      <w:r w:rsidR="00313C56">
        <w:rPr>
          <w:sz w:val="22"/>
          <w:szCs w:val="22"/>
        </w:rPr>
        <w:t xml:space="preserve"> for PC5</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36659">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Pr="00CE0424" w:rsidRDefault="0071044F" w:rsidP="00CE0424">
      <w:pPr>
        <w:pStyle w:val="BodyText"/>
      </w:pPr>
      <w:r>
        <w:t>In RAN1#90 meeting, RAN1 ha</w:t>
      </w:r>
      <w:r w:rsidR="00A26284">
        <w:t>d</w:t>
      </w:r>
      <w:r>
        <w:t xml:space="preserve"> send one LS about transmit diversity for PC5 in </w:t>
      </w:r>
      <w:r w:rsidR="00A26284">
        <w:fldChar w:fldCharType="begin"/>
      </w:r>
      <w:r w:rsidR="00A26284">
        <w:instrText xml:space="preserve"> REF _Ref493680723 \r \h </w:instrText>
      </w:r>
      <w:r w:rsidR="00A26284">
        <w:fldChar w:fldCharType="separate"/>
      </w:r>
      <w:r w:rsidR="00A26284">
        <w:t>[1]</w:t>
      </w:r>
      <w:r w:rsidR="00A26284">
        <w:fldChar w:fldCharType="end"/>
      </w:r>
      <w:r w:rsidR="00A26284">
        <w:t xml:space="preserve">. In this paper, we share our view regarding the question raised by RAN1. </w:t>
      </w:r>
    </w:p>
    <w:p w:rsidR="00AE107D" w:rsidRDefault="004000E8" w:rsidP="00AE107D">
      <w:pPr>
        <w:pStyle w:val="Heading1"/>
      </w:pPr>
      <w:bookmarkStart w:id="2" w:name="_Ref178064866"/>
      <w:r w:rsidRPr="00CE0424">
        <w:t>Discussion</w:t>
      </w:r>
      <w:bookmarkEnd w:id="2"/>
    </w:p>
    <w:p w:rsidR="004C4EBC" w:rsidRDefault="004C4EBC" w:rsidP="004C4EBC">
      <w:r>
        <w:t>In RAN1 LS, there are three questions:</w:t>
      </w:r>
    </w:p>
    <w:p w:rsidR="004C4EBC" w:rsidRDefault="004C4EBC" w:rsidP="004C4EBC">
      <w:pPr>
        <w:ind w:left="810"/>
      </w:pPr>
      <w:r>
        <w:rPr>
          <w:rFonts w:hint="eastAsia"/>
        </w:rPr>
        <w:t>•</w:t>
      </w:r>
      <w:r>
        <w:tab/>
        <w:t>Impact on PSSCH-RSRP measurement accuracy of Rel-14 UEs</w:t>
      </w:r>
    </w:p>
    <w:p w:rsidR="004C4EBC" w:rsidRDefault="004C4EBC" w:rsidP="004C4EBC">
      <w:pPr>
        <w:ind w:left="810"/>
      </w:pPr>
      <w:r>
        <w:rPr>
          <w:rFonts w:hint="eastAsia"/>
        </w:rPr>
        <w:t>•</w:t>
      </w:r>
      <w:r>
        <w:tab/>
        <w:t>MPR for Rel-15 UEs</w:t>
      </w:r>
    </w:p>
    <w:p w:rsidR="004C4EBC" w:rsidRDefault="004C4EBC" w:rsidP="004C4EBC">
      <w:pPr>
        <w:ind w:left="1080" w:hanging="270"/>
      </w:pPr>
      <w:r>
        <w:rPr>
          <w:rFonts w:hint="eastAsia"/>
        </w:rPr>
        <w:t>•</w:t>
      </w:r>
      <w:r>
        <w:tab/>
        <w:t>Impact on MMSE MRC receivers and advanced receivers in the a) presence of one interferer (single-port transmission and two-port diversity) b) presence of multiple interferers (single-port transmission and two-port diversity)</w:t>
      </w:r>
    </w:p>
    <w:p w:rsidR="00D03112" w:rsidRDefault="0061150B" w:rsidP="00D03112">
      <w:r>
        <w:t xml:space="preserve">In the following sections, we make some analysis for these questions. </w:t>
      </w:r>
    </w:p>
    <w:p w:rsidR="0061150B" w:rsidRDefault="0061150B" w:rsidP="0061150B">
      <w:pPr>
        <w:pStyle w:val="Heading2"/>
        <w:jc w:val="both"/>
      </w:pPr>
      <w:r>
        <w:t>Impact on PSSCH-RSRP measurement accuracy of Rel-14 UEs</w:t>
      </w:r>
    </w:p>
    <w:p w:rsidR="00490B56" w:rsidRDefault="00541117" w:rsidP="00490B56">
      <w:r>
        <w:t xml:space="preserve">When transmit diversity is used for Rel-15, to enable Rel-14 UEs PSSCH-RSRP measurement, the RS of Rel-15 UE, such as the pattern, sequence, shall be subset of Rel-14 UEs. </w:t>
      </w:r>
      <w:r w:rsidR="002240D1">
        <w:t xml:space="preserve">In RAN1 study, </w:t>
      </w:r>
      <w:r w:rsidR="00490B56">
        <w:t xml:space="preserve">the generation method for Rel-14 RS for PSSCH is the same as PUSCH except some parameters, such as </w:t>
      </w:r>
      <w:r w:rsidR="00490B56" w:rsidRPr="008C2E8C">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8" o:title=""/>
          </v:shape>
          <o:OLEObject Type="Embed" ProgID="Equation.3" ShapeID="_x0000_i1025" DrawAspect="Content" ObjectID="_1568399706" r:id="rId9"/>
        </w:object>
      </w:r>
      <w:r w:rsidR="00490B56">
        <w:t xml:space="preserve">, </w:t>
      </w:r>
      <w:r w:rsidR="00490B56" w:rsidRPr="0082472D">
        <w:rPr>
          <w:position w:val="-10"/>
        </w:rPr>
        <w:object w:dxaOrig="240" w:dyaOrig="300">
          <v:shape id="_x0000_i1026" type="#_x0000_t75" style="width:12pt;height:15pt" o:ole="">
            <v:imagedata r:id="rId10" o:title=""/>
          </v:shape>
          <o:OLEObject Type="Embed" ProgID="Equation.3" ShapeID="_x0000_i1026" DrawAspect="Content" ObjectID="_1568399707" r:id="rId11"/>
        </w:object>
      </w:r>
      <w:r w:rsidR="00490B56">
        <w:t xml:space="preserve">, </w:t>
      </w:r>
      <w:r w:rsidR="00490B56" w:rsidRPr="00DD559D">
        <w:rPr>
          <w:bCs/>
          <w:position w:val="-10"/>
          <w:sz w:val="24"/>
          <w:lang w:eastAsia="ja-JP"/>
        </w:rPr>
        <w:object w:dxaOrig="300" w:dyaOrig="300">
          <v:shape id="_x0000_i1027" type="#_x0000_t75" style="width:15pt;height:15pt" o:ole="">
            <v:imagedata r:id="rId12" o:title=""/>
          </v:shape>
          <o:OLEObject Type="Embed" ProgID="Equation.3" ShapeID="_x0000_i1027" DrawAspect="Content" ObjectID="_1568399708" r:id="rId13"/>
        </w:object>
      </w:r>
      <w:r w:rsidR="00490B56" w:rsidRPr="00490B56">
        <w:t xml:space="preserve"> and </w:t>
      </w:r>
      <w:r w:rsidR="00490B56" w:rsidRPr="005D11D9">
        <w:rPr>
          <w:position w:val="-12"/>
        </w:rPr>
        <w:object w:dxaOrig="420" w:dyaOrig="320">
          <v:shape id="_x0000_i1028" type="#_x0000_t75" style="width:21pt;height:16.2pt" o:ole="">
            <v:imagedata r:id="rId14" o:title=""/>
          </v:shape>
          <o:OLEObject Type="Embed" ProgID="Equation.3" ShapeID="_x0000_i1028" DrawAspect="Content" ObjectID="_1568399709" r:id="rId15"/>
        </w:object>
      </w:r>
      <w:r w:rsidR="00490B56">
        <w:t>, and these parameters are associated with the decimal representation of CRC on the PSCCH transmitted in the same subframe as the PSSCH.</w:t>
      </w:r>
      <w:r w:rsidR="009B6D77">
        <w:t xml:space="preserve"> In RAN1 Rel-15 transmit diversity discussion, the detail</w:t>
      </w:r>
      <w:r w:rsidR="008414BD">
        <w:t>s</w:t>
      </w:r>
      <w:r w:rsidR="009B6D77">
        <w:t xml:space="preserve"> for the RS design </w:t>
      </w:r>
      <w:r w:rsidR="008414BD">
        <w:t>are not</w:t>
      </w:r>
      <w:r w:rsidR="009B6D77">
        <w:t xml:space="preserve"> informed yet. As one simple extension, the RS design principle for MIMO PUSCH can be as a reference point. In MIMO PUSCH design, both ports use the same method to generate sequence, for example, both use Zadoff-Chu sequence. The only difference is different root is used for port 0 and port 1. Thus, from RS point of view, for multiple antenna system, one UE with 2 TX is equivalent to two UEs </w:t>
      </w:r>
      <w:r w:rsidR="00FE766D">
        <w:t xml:space="preserve">and each with </w:t>
      </w:r>
      <w:r w:rsidR="009B6D77">
        <w:t>1 TX.</w:t>
      </w:r>
      <w:r w:rsidR="003F4AE2">
        <w:t xml:space="preserve"> Due to this equivalency, </w:t>
      </w:r>
      <w:r w:rsidR="00791D15">
        <w:t>the introduce of multiple antenna is equivalent to introduce more</w:t>
      </w:r>
      <w:r w:rsidR="0081155E">
        <w:t xml:space="preserve"> 1TX</w:t>
      </w:r>
      <w:r w:rsidR="00791D15">
        <w:t xml:space="preserve"> UEs and each UE with half power</w:t>
      </w:r>
      <w:r w:rsidR="002E2C0F">
        <w:t xml:space="preserve"> relative to actual 1 TX UE</w:t>
      </w:r>
      <w:r w:rsidR="00791D15">
        <w:t xml:space="preserve">. </w:t>
      </w:r>
      <w:r w:rsidR="00E763C1">
        <w:t xml:space="preserve">From system point of view, the PSSCH-RSRP performance shall be quite similar when 2 TX is introduced if the side condition is very similar. </w:t>
      </w:r>
    </w:p>
    <w:p w:rsidR="00FE766D" w:rsidRDefault="00FE766D" w:rsidP="00490B56">
      <w:r>
        <w:t xml:space="preserve">This abovementioned equivalence is the same for transparent transmitted diversity and non-transparent diversity if the same design principle is used for the RS design. </w:t>
      </w:r>
      <w:r w:rsidR="00484DEB">
        <w:t xml:space="preserve">For transparent transmitted diversity, two identified sequence will be transmitted. For non-transparent transmitted diversity, one sequence is transmitted. But due to the delay profile is different from </w:t>
      </w:r>
      <w:r w:rsidR="0021650B">
        <w:t xml:space="preserve">different transmitted antennas, the same effect will be </w:t>
      </w:r>
      <w:r w:rsidR="00736FBF">
        <w:t>generated from</w:t>
      </w:r>
      <w:r w:rsidR="0021650B">
        <w:t xml:space="preserve"> receiver point of view for transparent transmitted diversity and non-transparent diversity. </w:t>
      </w:r>
    </w:p>
    <w:p w:rsidR="00490B56" w:rsidRDefault="00736FBF" w:rsidP="00736FBF">
      <w:pPr>
        <w:pStyle w:val="Observation"/>
      </w:pPr>
      <w:bookmarkStart w:id="3" w:name="_Toc493841489"/>
      <w:bookmarkStart w:id="4" w:name="_Toc493841672"/>
      <w:bookmarkStart w:id="5" w:name="_Toc493877557"/>
      <w:bookmarkStart w:id="6" w:name="_Toc494657731"/>
      <w:r>
        <w:t xml:space="preserve">From system point of view, the PSSCH-RSRP performance shall be similar for transparent diversity, non-transparent </w:t>
      </w:r>
      <w:r w:rsidR="0071000A">
        <w:t>diversity,</w:t>
      </w:r>
      <w:r>
        <w:t xml:space="preserve"> and single</w:t>
      </w:r>
      <w:r w:rsidR="00273B4E">
        <w:t>-port</w:t>
      </w:r>
      <w:r>
        <w:t xml:space="preserve"> transmission when similar side condition is configured</w:t>
      </w:r>
      <w:r w:rsidR="0071000A">
        <w:t>.</w:t>
      </w:r>
      <w:bookmarkEnd w:id="3"/>
      <w:bookmarkEnd w:id="4"/>
      <w:bookmarkEnd w:id="5"/>
      <w:bookmarkEnd w:id="6"/>
    </w:p>
    <w:p w:rsidR="00E77ADA" w:rsidRDefault="00E77ADA" w:rsidP="00E77ADA">
      <w:pPr>
        <w:pStyle w:val="Heading2"/>
      </w:pPr>
      <w:r>
        <w:lastRenderedPageBreak/>
        <w:t>MPR analysis for Rel-15 UEs</w:t>
      </w:r>
    </w:p>
    <w:p w:rsidR="00E77ADA" w:rsidRDefault="00CE6280" w:rsidP="00E77ADA">
      <w:r>
        <w:t xml:space="preserve">MPR is related to </w:t>
      </w:r>
      <w:r w:rsidR="00B92067">
        <w:t>the PAPR. the PAPR is related to the transmission schemes. In RAN1 LS, there are three transmitted diversity schemes are proposed:</w:t>
      </w:r>
    </w:p>
    <w:p w:rsidR="00B92067" w:rsidRPr="0006046B" w:rsidRDefault="00B92067" w:rsidP="00B92067">
      <w:pPr>
        <w:pStyle w:val="ListParagraph"/>
        <w:numPr>
          <w:ilvl w:val="0"/>
          <w:numId w:val="18"/>
        </w:numPr>
        <w:rPr>
          <w:rFonts w:ascii="Times New Roman" w:hAnsi="Times New Roman"/>
        </w:rPr>
      </w:pPr>
      <w:r w:rsidRPr="0006046B">
        <w:rPr>
          <w:rFonts w:ascii="Times New Roman" w:hAnsi="Times New Roman"/>
        </w:rPr>
        <w:t>STBC</w:t>
      </w:r>
    </w:p>
    <w:p w:rsidR="00B92067" w:rsidRPr="0006046B" w:rsidRDefault="00B92067" w:rsidP="00B92067">
      <w:pPr>
        <w:pStyle w:val="ListParagraph"/>
        <w:numPr>
          <w:ilvl w:val="0"/>
          <w:numId w:val="18"/>
        </w:numPr>
        <w:rPr>
          <w:rFonts w:ascii="Times New Roman" w:hAnsi="Times New Roman"/>
        </w:rPr>
      </w:pPr>
      <w:r w:rsidRPr="0006046B">
        <w:rPr>
          <w:rFonts w:ascii="Times New Roman" w:hAnsi="Times New Roman"/>
        </w:rPr>
        <w:t>SFBC</w:t>
      </w:r>
    </w:p>
    <w:p w:rsidR="00B92067" w:rsidRPr="0006046B" w:rsidRDefault="00B92067" w:rsidP="00B92067">
      <w:pPr>
        <w:pStyle w:val="ListParagraph"/>
        <w:numPr>
          <w:ilvl w:val="0"/>
          <w:numId w:val="18"/>
        </w:numPr>
        <w:rPr>
          <w:rFonts w:ascii="Times New Roman" w:hAnsi="Times New Roman"/>
        </w:rPr>
      </w:pPr>
      <w:r w:rsidRPr="0006046B">
        <w:rPr>
          <w:rFonts w:ascii="Times New Roman" w:hAnsi="Times New Roman"/>
        </w:rPr>
        <w:t>PVS in time domain</w:t>
      </w:r>
    </w:p>
    <w:p w:rsidR="00B92067" w:rsidRDefault="00B92067" w:rsidP="00B92067"/>
    <w:p w:rsidR="00B92067" w:rsidRDefault="00B92067" w:rsidP="00B92067">
      <w:r>
        <w:t>For STBC</w:t>
      </w:r>
      <w:r>
        <w:rPr>
          <w:rFonts w:hint="eastAsia"/>
        </w:rPr>
        <w:t>,</w:t>
      </w:r>
      <w:r>
        <w:t xml:space="preserve"> PAPR has been analysed in </w:t>
      </w:r>
      <w:r w:rsidR="0006046B">
        <w:fldChar w:fldCharType="begin"/>
      </w:r>
      <w:r w:rsidR="0006046B">
        <w:instrText xml:space="preserve"> REF _Ref493843066 \r \h </w:instrText>
      </w:r>
      <w:r w:rsidR="0006046B">
        <w:fldChar w:fldCharType="separate"/>
      </w:r>
      <w:r w:rsidR="0006046B">
        <w:t>[2]</w:t>
      </w:r>
      <w:r w:rsidR="0006046B">
        <w:fldChar w:fldCharType="end"/>
      </w:r>
      <w:r w:rsidR="0006046B">
        <w:t xml:space="preserve">. In STBC, </w:t>
      </w:r>
      <w:r w:rsidR="00C14776">
        <w:t xml:space="preserve">there are two operations for the symbols, one is “conjugate” and one is “multiply ‘-1’ ” and </w:t>
      </w:r>
      <w:r w:rsidR="0006046B">
        <w:t xml:space="preserve">any operation is performed based on </w:t>
      </w:r>
      <w:r w:rsidR="00C14776">
        <w:t xml:space="preserve">whole OFDM symbol. Both “conjugate” and “multiply </w:t>
      </w:r>
      <w:r w:rsidR="00380703">
        <w:t>‘</w:t>
      </w:r>
      <w:r w:rsidR="00C14776">
        <w:t>-1</w:t>
      </w:r>
      <w:r w:rsidR="00380703">
        <w:t>’</w:t>
      </w:r>
      <w:r w:rsidR="00C14776">
        <w:t xml:space="preserve"> ” will not change the PAPR block-wise. Thus</w:t>
      </w:r>
      <w:r w:rsidR="00C14776">
        <w:rPr>
          <w:rFonts w:hint="eastAsia"/>
        </w:rPr>
        <w:t>,</w:t>
      </w:r>
      <w:r w:rsidR="00C14776">
        <w:t xml:space="preserve"> the PAPR of STBC shall be the same as the PAPR of single-port. </w:t>
      </w:r>
      <w:r w:rsidR="00AE30D5">
        <w:t xml:space="preserve">Thus, there is no any impact on the MPR for </w:t>
      </w:r>
      <w:r w:rsidR="00AE30D5">
        <w:rPr>
          <w:rFonts w:hint="eastAsia"/>
        </w:rPr>
        <w:t xml:space="preserve">proper </w:t>
      </w:r>
      <w:r w:rsidR="00AE30D5">
        <w:t xml:space="preserve">STBC. </w:t>
      </w:r>
    </w:p>
    <w:p w:rsidR="00AE30D5" w:rsidRDefault="00AE30D5" w:rsidP="00AE30D5">
      <w:pPr>
        <w:pStyle w:val="Observation"/>
      </w:pPr>
      <w:bookmarkStart w:id="7" w:name="_Toc493877558"/>
      <w:bookmarkStart w:id="8" w:name="_Toc494657732"/>
      <w:r>
        <w:t>There is no any impact on the MPR for proper STBC</w:t>
      </w:r>
      <w:bookmarkEnd w:id="7"/>
      <w:bookmarkEnd w:id="8"/>
    </w:p>
    <w:p w:rsidR="00685315" w:rsidRDefault="00685315" w:rsidP="00685315">
      <w:r>
        <w:t xml:space="preserve">In conventional Alamouti SFBC, two adjacent subcarrier are used as the paired SFBC subcarriers, which may lead to slightly increased CM/PAPR characteristics, e.g., roughly </w:t>
      </w:r>
      <w:r w:rsidRPr="005F7FDA">
        <w:t>1dB</w:t>
      </w:r>
      <w:r>
        <w:t xml:space="preserve"> </w:t>
      </w:r>
      <w:r>
        <w:fldChar w:fldCharType="begin"/>
      </w:r>
      <w:r>
        <w:instrText xml:space="preserve"> REF _Ref494461273 \r \h </w:instrText>
      </w:r>
      <w:r>
        <w:fldChar w:fldCharType="separate"/>
      </w:r>
      <w:r>
        <w:t>[3]</w:t>
      </w:r>
      <w:r>
        <w:fldChar w:fldCharType="end"/>
      </w:r>
      <w:r w:rsidRPr="005F7FDA">
        <w:t>.</w:t>
      </w:r>
      <w:r>
        <w:t xml:space="preserve"> </w:t>
      </w:r>
      <w:r w:rsidRPr="00685315">
        <w:t>it should be noted that difference in CM of TxD schemes with respect to the single antenna port does not give a full picture, given that if multiple antenna ports are used the max transmit power per antenna port is scaled down by X dB, where X = 3dB for the case of two TX antennas. Hence, in case of TxD scheme with two antenna ports, the transmit power per antenna port is 3dB less with respect to single antenna port that can relax CM requirements</w:t>
      </w:r>
      <w:r>
        <w:t>. Hence, the CM increase of SFBC is in general not significant and can probably be compensated in practice by the power reduction of the two-antenna transmission.</w:t>
      </w:r>
    </w:p>
    <w:p w:rsidR="00AE30D5" w:rsidRDefault="0091697E" w:rsidP="00AE30D5">
      <w:pPr>
        <w:pStyle w:val="Observation"/>
      </w:pPr>
      <w:bookmarkStart w:id="9" w:name="_Toc494657733"/>
      <w:r>
        <w:t xml:space="preserve">The MPR impact is quite limit </w:t>
      </w:r>
      <w:r>
        <w:rPr>
          <w:rFonts w:cs="Arial"/>
          <w:color w:val="000000"/>
          <w:sz w:val="21"/>
          <w:szCs w:val="21"/>
        </w:rPr>
        <w:t>considering the power reduction and CM increase of the SFBC</w:t>
      </w:r>
      <w:bookmarkEnd w:id="9"/>
    </w:p>
    <w:p w:rsidR="00AE30D5" w:rsidRPr="00AE30D5" w:rsidRDefault="00AE30D5" w:rsidP="00AE30D5">
      <w:pPr>
        <w:pStyle w:val="Observation"/>
        <w:numPr>
          <w:ilvl w:val="0"/>
          <w:numId w:val="0"/>
        </w:numPr>
      </w:pPr>
    </w:p>
    <w:p w:rsidR="00270772" w:rsidRDefault="00270772" w:rsidP="00270772">
      <w:pPr>
        <w:pStyle w:val="Heading2"/>
      </w:pPr>
      <w:r w:rsidRPr="00270772">
        <w:t>MMSE-MRC performance and advanced receivers</w:t>
      </w:r>
    </w:p>
    <w:p w:rsidR="000A51A5" w:rsidRDefault="00270772" w:rsidP="008E428A">
      <w:r>
        <w:t>In current RAN4 discussion, for PDSCH, advanced receivers, such as MMSE-IRC receiver, CRS-IC receiver, nonlinear MIMO receiver</w:t>
      </w:r>
      <w:r w:rsidR="00177CAE">
        <w:t>, EMMSE-IRC</w:t>
      </w:r>
      <w:r>
        <w:t xml:space="preserve"> and NAICs are discussed. However, for PC5, only MMSE-MRC and MMSE-IRC receiver are relevant. Thus</w:t>
      </w:r>
      <w:r>
        <w:rPr>
          <w:rFonts w:hint="eastAsia"/>
        </w:rPr>
        <w:t>,</w:t>
      </w:r>
      <w:r>
        <w:t xml:space="preserve"> in this section, we only focus on MMSE-MRC and MMSE-IRC. </w:t>
      </w:r>
    </w:p>
    <w:p w:rsidR="00806494" w:rsidRDefault="00806494" w:rsidP="00270772">
      <w:r>
        <w:t xml:space="preserve">For </w:t>
      </w:r>
      <w:r w:rsidR="006741F9">
        <w:t xml:space="preserve">both </w:t>
      </w:r>
      <w:r>
        <w:t>MMSE-MRC</w:t>
      </w:r>
      <w:r w:rsidR="006741F9">
        <w:t xml:space="preserve"> and MMSE-IRC</w:t>
      </w:r>
      <w:r>
        <w:t xml:space="preserve">, since the performance is independent of the interference structure, thus, it is expected to have the same performance for the scenario when the interference is </w:t>
      </w:r>
      <w:r w:rsidR="009D102A">
        <w:t>transmitting</w:t>
      </w:r>
      <w:r>
        <w:t xml:space="preserve"> diversity and the scenario when the interference is single port transmission. </w:t>
      </w:r>
    </w:p>
    <w:p w:rsidR="00DE5BA3" w:rsidRDefault="00DE5BA3" w:rsidP="00270772">
      <w:r>
        <w:t xml:space="preserve">For MMSE-IRC, </w:t>
      </w:r>
      <w:r w:rsidR="00BA21B3">
        <w:t xml:space="preserve">simulation results are provided in </w:t>
      </w:r>
      <w:r w:rsidR="007752EC">
        <w:fldChar w:fldCharType="begin"/>
      </w:r>
      <w:r w:rsidR="007752EC">
        <w:instrText xml:space="preserve"> REF _Ref493841260 \h </w:instrText>
      </w:r>
      <w:r w:rsidR="007752EC">
        <w:fldChar w:fldCharType="separate"/>
      </w:r>
      <w:r w:rsidR="007752EC">
        <w:t xml:space="preserve">Figure </w:t>
      </w:r>
      <w:r w:rsidR="007752EC">
        <w:rPr>
          <w:noProof/>
        </w:rPr>
        <w:t>1</w:t>
      </w:r>
      <w:r w:rsidR="007752EC">
        <w:fldChar w:fldCharType="end"/>
      </w:r>
      <w:r w:rsidR="007752EC">
        <w:t xml:space="preserve"> and the corresponding simulation parameters are shown in </w:t>
      </w:r>
      <w:r w:rsidR="007752EC">
        <w:fldChar w:fldCharType="begin"/>
      </w:r>
      <w:r w:rsidR="007752EC">
        <w:instrText xml:space="preserve"> REF _Ref493841287 \h </w:instrText>
      </w:r>
      <w:r w:rsidR="007752EC">
        <w:fldChar w:fldCharType="separate"/>
      </w:r>
      <w:r w:rsidR="007752EC">
        <w:t xml:space="preserve">Table </w:t>
      </w:r>
      <w:r w:rsidR="007752EC">
        <w:rPr>
          <w:noProof/>
        </w:rPr>
        <w:t>1</w:t>
      </w:r>
      <w:r w:rsidR="007752EC">
        <w:fldChar w:fldCharType="end"/>
      </w:r>
      <w:r w:rsidR="007752EC">
        <w:t xml:space="preserve">. </w:t>
      </w:r>
    </w:p>
    <w:p w:rsidR="007752EC" w:rsidRDefault="007752EC" w:rsidP="00270772"/>
    <w:p w:rsidR="009B021C" w:rsidRDefault="009B021C" w:rsidP="009B021C">
      <w:pPr>
        <w:pStyle w:val="Caption"/>
        <w:keepNext/>
      </w:pPr>
      <w:bookmarkStart w:id="10" w:name="_Ref493841287"/>
      <w:r>
        <w:t xml:space="preserve">Table </w:t>
      </w:r>
      <w:r>
        <w:fldChar w:fldCharType="begin"/>
      </w:r>
      <w:r>
        <w:instrText xml:space="preserve"> SEQ Table \* ARABIC </w:instrText>
      </w:r>
      <w:r>
        <w:fldChar w:fldCharType="separate"/>
      </w:r>
      <w:r>
        <w:rPr>
          <w:noProof/>
        </w:rPr>
        <w:t>1</w:t>
      </w:r>
      <w:r>
        <w:fldChar w:fldCharType="end"/>
      </w:r>
      <w:bookmarkEnd w:id="10"/>
      <w:r>
        <w:t>: Simulation parameters</w:t>
      </w:r>
    </w:p>
    <w:tbl>
      <w:tblPr>
        <w:tblStyle w:val="TableGrid"/>
        <w:tblW w:w="0" w:type="auto"/>
        <w:jc w:val="center"/>
        <w:tblLook w:val="04A0" w:firstRow="1" w:lastRow="0" w:firstColumn="1" w:lastColumn="0" w:noHBand="0" w:noVBand="1"/>
      </w:tblPr>
      <w:tblGrid>
        <w:gridCol w:w="3209"/>
        <w:gridCol w:w="3210"/>
        <w:gridCol w:w="3210"/>
      </w:tblGrid>
      <w:tr w:rsidR="00806494" w:rsidTr="009B021C">
        <w:trPr>
          <w:jc w:val="center"/>
        </w:trPr>
        <w:tc>
          <w:tcPr>
            <w:tcW w:w="3209" w:type="dxa"/>
          </w:tcPr>
          <w:p w:rsidR="00806494" w:rsidRDefault="009D102A" w:rsidP="00C20E9B">
            <w:pPr>
              <w:jc w:val="center"/>
            </w:pPr>
            <w:r>
              <w:t>Parameters</w:t>
            </w:r>
          </w:p>
        </w:tc>
        <w:tc>
          <w:tcPr>
            <w:tcW w:w="3210" w:type="dxa"/>
          </w:tcPr>
          <w:p w:rsidR="009D102A" w:rsidRDefault="009D102A" w:rsidP="00F67641">
            <w:pPr>
              <w:jc w:val="center"/>
            </w:pPr>
            <w:r>
              <w:t xml:space="preserve">Scenario1: </w:t>
            </w:r>
          </w:p>
          <w:p w:rsidR="00806494" w:rsidRDefault="00DE5BA3" w:rsidP="00F67641">
            <w:pPr>
              <w:jc w:val="center"/>
            </w:pPr>
            <w:r>
              <w:t>TxD as interference</w:t>
            </w:r>
          </w:p>
        </w:tc>
        <w:tc>
          <w:tcPr>
            <w:tcW w:w="3210" w:type="dxa"/>
          </w:tcPr>
          <w:p w:rsidR="009D102A" w:rsidRDefault="009D102A" w:rsidP="009D102A">
            <w:pPr>
              <w:jc w:val="center"/>
            </w:pPr>
            <w:r>
              <w:t>Scenario 2:</w:t>
            </w:r>
          </w:p>
          <w:p w:rsidR="00806494" w:rsidRDefault="00F67641" w:rsidP="009D102A">
            <w:pPr>
              <w:jc w:val="center"/>
            </w:pPr>
            <w:r>
              <w:t>One-port as transmitted diversity</w:t>
            </w:r>
          </w:p>
        </w:tc>
      </w:tr>
      <w:tr w:rsidR="00806494" w:rsidTr="009B021C">
        <w:trPr>
          <w:jc w:val="center"/>
        </w:trPr>
        <w:tc>
          <w:tcPr>
            <w:tcW w:w="3209" w:type="dxa"/>
          </w:tcPr>
          <w:p w:rsidR="00806494" w:rsidRDefault="00DE5BA3" w:rsidP="00C20E9B">
            <w:pPr>
              <w:jc w:val="center"/>
            </w:pPr>
            <w:r>
              <w:t>Interference modelling</w:t>
            </w:r>
          </w:p>
        </w:tc>
        <w:tc>
          <w:tcPr>
            <w:tcW w:w="3210" w:type="dxa"/>
          </w:tcPr>
          <w:p w:rsidR="00806494" w:rsidRDefault="00F67641" w:rsidP="00F67641">
            <w:pPr>
              <w:jc w:val="center"/>
            </w:pPr>
            <w:r>
              <w:t>SFBC</w:t>
            </w:r>
          </w:p>
        </w:tc>
        <w:tc>
          <w:tcPr>
            <w:tcW w:w="3210" w:type="dxa"/>
          </w:tcPr>
          <w:p w:rsidR="00806494" w:rsidRDefault="00F67641" w:rsidP="00F67641">
            <w:pPr>
              <w:jc w:val="center"/>
            </w:pPr>
            <w:r>
              <w:t>each PRG with the same precoding</w:t>
            </w:r>
            <w:r w:rsidR="004B4B23">
              <w:t xml:space="preserve"> </w:t>
            </w:r>
            <w:r>
              <w:t>which is randomly generated</w:t>
            </w:r>
          </w:p>
        </w:tc>
      </w:tr>
      <w:tr w:rsidR="00177CAE" w:rsidTr="009B021C">
        <w:trPr>
          <w:jc w:val="center"/>
        </w:trPr>
        <w:tc>
          <w:tcPr>
            <w:tcW w:w="3209" w:type="dxa"/>
          </w:tcPr>
          <w:p w:rsidR="00177CAE" w:rsidRDefault="00177CAE" w:rsidP="00C20E9B">
            <w:pPr>
              <w:jc w:val="center"/>
            </w:pPr>
            <w:r>
              <w:t>Interference level(Es/No)</w:t>
            </w:r>
          </w:p>
        </w:tc>
        <w:tc>
          <w:tcPr>
            <w:tcW w:w="6420" w:type="dxa"/>
            <w:gridSpan w:val="2"/>
          </w:tcPr>
          <w:p w:rsidR="00177CAE" w:rsidRDefault="00177CAE" w:rsidP="00177CAE">
            <w:pPr>
              <w:jc w:val="center"/>
            </w:pPr>
            <w:r>
              <w:t>10.45</w:t>
            </w:r>
            <w:r w:rsidR="009D102A">
              <w:t xml:space="preserve"> dB</w:t>
            </w:r>
          </w:p>
        </w:tc>
      </w:tr>
      <w:tr w:rsidR="00177CAE" w:rsidTr="009B021C">
        <w:trPr>
          <w:jc w:val="center"/>
        </w:trPr>
        <w:tc>
          <w:tcPr>
            <w:tcW w:w="3209" w:type="dxa"/>
          </w:tcPr>
          <w:p w:rsidR="00177CAE" w:rsidRDefault="00177CAE" w:rsidP="00C20E9B">
            <w:pPr>
              <w:jc w:val="center"/>
            </w:pPr>
            <w:r>
              <w:t>Resource allocation</w:t>
            </w:r>
          </w:p>
        </w:tc>
        <w:tc>
          <w:tcPr>
            <w:tcW w:w="6420" w:type="dxa"/>
            <w:gridSpan w:val="2"/>
          </w:tcPr>
          <w:p w:rsidR="00177CAE" w:rsidRDefault="00177CAE" w:rsidP="00177CAE">
            <w:pPr>
              <w:jc w:val="center"/>
            </w:pPr>
            <w:r>
              <w:t>3 PRBs</w:t>
            </w:r>
          </w:p>
        </w:tc>
      </w:tr>
      <w:tr w:rsidR="00177CAE" w:rsidTr="009B021C">
        <w:trPr>
          <w:jc w:val="center"/>
        </w:trPr>
        <w:tc>
          <w:tcPr>
            <w:tcW w:w="3209" w:type="dxa"/>
          </w:tcPr>
          <w:p w:rsidR="00177CAE" w:rsidRDefault="00177CAE" w:rsidP="00C20E9B">
            <w:pPr>
              <w:jc w:val="center"/>
            </w:pPr>
            <w:r>
              <w:t>MCS</w:t>
            </w:r>
          </w:p>
        </w:tc>
        <w:tc>
          <w:tcPr>
            <w:tcW w:w="6420" w:type="dxa"/>
            <w:gridSpan w:val="2"/>
          </w:tcPr>
          <w:p w:rsidR="00177CAE" w:rsidRDefault="00177CAE" w:rsidP="00177CAE">
            <w:pPr>
              <w:jc w:val="center"/>
            </w:pPr>
            <w:r>
              <w:t>8</w:t>
            </w:r>
          </w:p>
        </w:tc>
      </w:tr>
      <w:tr w:rsidR="00177CAE" w:rsidTr="009B021C">
        <w:trPr>
          <w:jc w:val="center"/>
        </w:trPr>
        <w:tc>
          <w:tcPr>
            <w:tcW w:w="3209" w:type="dxa"/>
          </w:tcPr>
          <w:p w:rsidR="00177CAE" w:rsidRDefault="00177CAE" w:rsidP="00C20E9B">
            <w:pPr>
              <w:jc w:val="center"/>
            </w:pPr>
            <w:r>
              <w:t>Receiver</w:t>
            </w:r>
          </w:p>
        </w:tc>
        <w:tc>
          <w:tcPr>
            <w:tcW w:w="6420" w:type="dxa"/>
            <w:gridSpan w:val="2"/>
          </w:tcPr>
          <w:p w:rsidR="00177CAE" w:rsidRDefault="00177CAE" w:rsidP="00177CAE">
            <w:pPr>
              <w:jc w:val="center"/>
            </w:pPr>
            <w:r>
              <w:t>MMSE-IRC receiver</w:t>
            </w:r>
          </w:p>
        </w:tc>
      </w:tr>
      <w:tr w:rsidR="00BA21B3" w:rsidTr="009B021C">
        <w:trPr>
          <w:jc w:val="center"/>
        </w:trPr>
        <w:tc>
          <w:tcPr>
            <w:tcW w:w="3209" w:type="dxa"/>
          </w:tcPr>
          <w:p w:rsidR="00BA21B3" w:rsidRDefault="00BA21B3" w:rsidP="00C20E9B">
            <w:pPr>
              <w:jc w:val="center"/>
            </w:pPr>
            <w:r>
              <w:t>Transmission scheme from the desired terminal</w:t>
            </w:r>
          </w:p>
        </w:tc>
        <w:tc>
          <w:tcPr>
            <w:tcW w:w="6420" w:type="dxa"/>
            <w:gridSpan w:val="2"/>
          </w:tcPr>
          <w:p w:rsidR="00BA21B3" w:rsidRDefault="00BA21B3" w:rsidP="00177CAE">
            <w:pPr>
              <w:jc w:val="center"/>
            </w:pPr>
            <w:r>
              <w:t>SFBC</w:t>
            </w:r>
          </w:p>
        </w:tc>
      </w:tr>
      <w:tr w:rsidR="009C3081" w:rsidTr="009B021C">
        <w:trPr>
          <w:jc w:val="center"/>
        </w:trPr>
        <w:tc>
          <w:tcPr>
            <w:tcW w:w="3209" w:type="dxa"/>
          </w:tcPr>
          <w:p w:rsidR="009C3081" w:rsidRDefault="009C3081" w:rsidP="00C20E9B">
            <w:pPr>
              <w:jc w:val="center"/>
            </w:pPr>
            <w:r>
              <w:t>Channel estimation</w:t>
            </w:r>
          </w:p>
        </w:tc>
        <w:tc>
          <w:tcPr>
            <w:tcW w:w="6420" w:type="dxa"/>
            <w:gridSpan w:val="2"/>
          </w:tcPr>
          <w:p w:rsidR="009C3081" w:rsidRDefault="009C3081" w:rsidP="00177CAE">
            <w:pPr>
              <w:jc w:val="center"/>
            </w:pPr>
            <w:r>
              <w:t>Practical channel estimation</w:t>
            </w:r>
          </w:p>
        </w:tc>
      </w:tr>
    </w:tbl>
    <w:p w:rsidR="00806494" w:rsidRDefault="00806494" w:rsidP="00270772"/>
    <w:p w:rsidR="00CA1DAD" w:rsidRDefault="00CA1DAD" w:rsidP="00CA1DAD">
      <w:pPr>
        <w:keepNext/>
        <w:jc w:val="center"/>
      </w:pPr>
      <w:r w:rsidRPr="005620C9">
        <w:rPr>
          <w:noProof/>
        </w:rPr>
        <w:drawing>
          <wp:inline distT="0" distB="0" distL="0" distR="0" wp14:anchorId="198CA534" wp14:editId="43AA8CAA">
            <wp:extent cx="4255409"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9211" cy="2745651"/>
                    </a:xfrm>
                    <a:prstGeom prst="rect">
                      <a:avLst/>
                    </a:prstGeom>
                    <a:noFill/>
                    <a:ln>
                      <a:noFill/>
                    </a:ln>
                  </pic:spPr>
                </pic:pic>
              </a:graphicData>
            </a:graphic>
          </wp:inline>
        </w:drawing>
      </w:r>
    </w:p>
    <w:p w:rsidR="00177CAE" w:rsidRDefault="00CA1DAD" w:rsidP="00CA1DAD">
      <w:pPr>
        <w:pStyle w:val="Caption"/>
      </w:pPr>
      <w:bookmarkStart w:id="11" w:name="_Ref493841260"/>
      <w:r>
        <w:t xml:space="preserve">Figure </w:t>
      </w:r>
      <w:r>
        <w:fldChar w:fldCharType="begin"/>
      </w:r>
      <w:r>
        <w:instrText xml:space="preserve"> SEQ Figure \* ARABIC </w:instrText>
      </w:r>
      <w:r>
        <w:fldChar w:fldCharType="separate"/>
      </w:r>
      <w:r>
        <w:rPr>
          <w:noProof/>
        </w:rPr>
        <w:t>1</w:t>
      </w:r>
      <w:r>
        <w:fldChar w:fldCharType="end"/>
      </w:r>
      <w:bookmarkEnd w:id="11"/>
      <w:r>
        <w:t>: Simulation results for TxD interference and one-port interference</w:t>
      </w:r>
    </w:p>
    <w:p w:rsidR="005B08ED" w:rsidRDefault="005B08ED" w:rsidP="005B08ED">
      <w:pPr>
        <w:rPr>
          <w:rFonts w:cs="Arial"/>
          <w:color w:val="000000"/>
          <w:sz w:val="21"/>
          <w:szCs w:val="21"/>
        </w:rPr>
      </w:pPr>
      <w:r>
        <w:rPr>
          <w:rFonts w:cs="Arial"/>
          <w:color w:val="000000"/>
          <w:sz w:val="21"/>
          <w:szCs w:val="21"/>
        </w:rPr>
        <w:t xml:space="preserve">From </w:t>
      </w:r>
      <w:r>
        <w:rPr>
          <w:rFonts w:cs="Arial"/>
          <w:color w:val="000000"/>
          <w:sz w:val="21"/>
          <w:szCs w:val="21"/>
        </w:rPr>
        <w:fldChar w:fldCharType="begin"/>
      </w:r>
      <w:r>
        <w:rPr>
          <w:rFonts w:cs="Arial"/>
          <w:color w:val="000000"/>
          <w:sz w:val="21"/>
          <w:szCs w:val="21"/>
        </w:rPr>
        <w:instrText xml:space="preserve"> REF _Ref493841260 \h </w:instrText>
      </w:r>
      <w:r>
        <w:rPr>
          <w:rFonts w:cs="Arial"/>
          <w:color w:val="000000"/>
          <w:sz w:val="21"/>
          <w:szCs w:val="21"/>
        </w:rPr>
      </w:r>
      <w:r>
        <w:rPr>
          <w:rFonts w:cs="Arial"/>
          <w:color w:val="000000"/>
          <w:sz w:val="21"/>
          <w:szCs w:val="21"/>
        </w:rPr>
        <w:fldChar w:fldCharType="separate"/>
      </w:r>
      <w:r>
        <w:t xml:space="preserve">Figure </w:t>
      </w:r>
      <w:r>
        <w:rPr>
          <w:noProof/>
        </w:rPr>
        <w:t>1</w:t>
      </w:r>
      <w:r>
        <w:rPr>
          <w:rFonts w:cs="Arial"/>
          <w:color w:val="000000"/>
          <w:sz w:val="21"/>
          <w:szCs w:val="21"/>
        </w:rPr>
        <w:fldChar w:fldCharType="end"/>
      </w:r>
      <w:r>
        <w:rPr>
          <w:rFonts w:cs="Arial"/>
          <w:color w:val="000000"/>
          <w:sz w:val="21"/>
          <w:szCs w:val="21"/>
        </w:rPr>
        <w:t xml:space="preserve">, we can see there is no any difference for TXD as interference and one-port interference. </w:t>
      </w:r>
      <w:r>
        <w:rPr>
          <w:rFonts w:cs="Arial" w:hint="eastAsia"/>
          <w:color w:val="000000"/>
          <w:sz w:val="21"/>
          <w:szCs w:val="21"/>
        </w:rPr>
        <w:t>Thus</w:t>
      </w:r>
      <w:r>
        <w:rPr>
          <w:rFonts w:cs="Arial"/>
          <w:color w:val="000000"/>
          <w:sz w:val="21"/>
          <w:szCs w:val="21"/>
        </w:rPr>
        <w:t>, we have the following observations:</w:t>
      </w:r>
    </w:p>
    <w:p w:rsidR="005B08ED" w:rsidRDefault="005B08ED" w:rsidP="005B08ED">
      <w:pPr>
        <w:pStyle w:val="Observation"/>
      </w:pPr>
      <w:bookmarkStart w:id="12" w:name="_Toc493841490"/>
      <w:bookmarkStart w:id="13" w:name="_Toc493841673"/>
      <w:bookmarkStart w:id="14" w:name="_Toc493877561"/>
      <w:bookmarkStart w:id="15" w:name="_Toc494657734"/>
      <w:r>
        <w:t>There is no performance difference is observed for one single-port transmission and two-port diversity for MMSE-IRC receiver</w:t>
      </w:r>
      <w:bookmarkEnd w:id="12"/>
      <w:bookmarkEnd w:id="13"/>
      <w:bookmarkEnd w:id="14"/>
      <w:bookmarkEnd w:id="15"/>
    </w:p>
    <w:p w:rsidR="00794636" w:rsidRPr="00794636" w:rsidRDefault="00794636" w:rsidP="00833DB7">
      <w:pPr>
        <w:pStyle w:val="Caption"/>
        <w:jc w:val="both"/>
      </w:pPr>
    </w:p>
    <w:p w:rsidR="00C01F33" w:rsidRPr="00CE0424" w:rsidRDefault="00C01F33" w:rsidP="00CE0424">
      <w:pPr>
        <w:pStyle w:val="Heading1"/>
      </w:pPr>
      <w:r w:rsidRPr="00CE0424">
        <w:t>Conclusion</w:t>
      </w:r>
    </w:p>
    <w:p w:rsidR="00833DB7" w:rsidRDefault="00833DB7" w:rsidP="00833DB7">
      <w:r>
        <w:t>In this paper, we provide our analysis for the PSSCH-RSRP, MPR issue and impact on MMSE-MRC and MMSE-IRC. Based on the analysis, we have the following observations:</w:t>
      </w:r>
    </w:p>
    <w:p w:rsidR="00F945E4" w:rsidRDefault="00F945E4" w:rsidP="00833DB7"/>
    <w:p w:rsidR="00C6277B" w:rsidRDefault="002278A0" w:rsidP="00C6277B">
      <w:pPr>
        <w:pStyle w:val="TOC1"/>
        <w:jc w:val="both"/>
        <w:rPr>
          <w:rFonts w:asciiTheme="minorHAnsi" w:hAnsiTheme="minorHAnsi" w:cstheme="minorBidi"/>
          <w:b w:val="0"/>
          <w:sz w:val="22"/>
        </w:rPr>
      </w:pPr>
      <w:r>
        <w:rPr>
          <w:b w:val="0"/>
          <w:bCs/>
        </w:rPr>
        <w:fldChar w:fldCharType="begin"/>
      </w:r>
      <w:r>
        <w:rPr>
          <w:b w:val="0"/>
          <w:bCs/>
        </w:rPr>
        <w:instrText xml:space="preserve"> TOC \f \n \p " " \t "Observation,1" </w:instrText>
      </w:r>
      <w:r>
        <w:rPr>
          <w:b w:val="0"/>
          <w:bCs/>
        </w:rPr>
        <w:fldChar w:fldCharType="separate"/>
      </w:r>
      <w:r w:rsidR="00C6277B">
        <w:t>Observation 1</w:t>
      </w:r>
      <w:r w:rsidR="00C6277B">
        <w:rPr>
          <w:rFonts w:asciiTheme="minorHAnsi" w:hAnsiTheme="minorHAnsi" w:cstheme="minorBidi"/>
          <w:b w:val="0"/>
          <w:sz w:val="22"/>
        </w:rPr>
        <w:tab/>
      </w:r>
      <w:r w:rsidR="00C6277B">
        <w:t>From system point of view, the PSSCH-RSRP performance shall be similar for transparent diversity, non-transparent diversity, and single-port transmission when similar side condition is configured.</w:t>
      </w:r>
    </w:p>
    <w:p w:rsidR="00C6277B" w:rsidRDefault="00C6277B">
      <w:pPr>
        <w:pStyle w:val="TOC1"/>
        <w:rPr>
          <w:rFonts w:asciiTheme="minorHAnsi" w:hAnsiTheme="minorHAnsi" w:cstheme="minorBidi"/>
          <w:b w:val="0"/>
          <w:sz w:val="22"/>
        </w:rPr>
      </w:pPr>
      <w:r>
        <w:t>Observation 2</w:t>
      </w:r>
      <w:r>
        <w:rPr>
          <w:rFonts w:asciiTheme="minorHAnsi" w:hAnsiTheme="minorHAnsi" w:cstheme="minorBidi"/>
          <w:b w:val="0"/>
          <w:sz w:val="22"/>
        </w:rPr>
        <w:tab/>
      </w:r>
      <w:r>
        <w:t>There is no any impact on the MPR for proper STBC</w:t>
      </w:r>
    </w:p>
    <w:p w:rsidR="00C6277B" w:rsidRDefault="00C6277B">
      <w:pPr>
        <w:pStyle w:val="TOC1"/>
        <w:rPr>
          <w:rFonts w:asciiTheme="minorHAnsi" w:hAnsiTheme="minorHAnsi" w:cstheme="minorBidi"/>
          <w:b w:val="0"/>
          <w:sz w:val="22"/>
        </w:rPr>
      </w:pPr>
      <w:r>
        <w:t>Observation 3</w:t>
      </w:r>
      <w:r>
        <w:rPr>
          <w:rFonts w:asciiTheme="minorHAnsi" w:hAnsiTheme="minorHAnsi" w:cstheme="minorBidi"/>
          <w:b w:val="0"/>
          <w:sz w:val="22"/>
        </w:rPr>
        <w:tab/>
      </w:r>
      <w:r>
        <w:t xml:space="preserve">The MPR impact is quite limit </w:t>
      </w:r>
      <w:r w:rsidRPr="007549F5">
        <w:rPr>
          <w:rFonts w:cs="Arial"/>
          <w:color w:val="000000"/>
        </w:rPr>
        <w:t>considering the power reduction and CM increase of the SFBC</w:t>
      </w:r>
    </w:p>
    <w:p w:rsidR="00C6277B" w:rsidRDefault="00C6277B" w:rsidP="00C6277B">
      <w:pPr>
        <w:pStyle w:val="TOC1"/>
        <w:jc w:val="both"/>
        <w:rPr>
          <w:rFonts w:asciiTheme="minorHAnsi" w:hAnsiTheme="minorHAnsi" w:cstheme="minorBidi"/>
          <w:b w:val="0"/>
          <w:sz w:val="22"/>
        </w:rPr>
      </w:pPr>
      <w:r>
        <w:t>Observation 4</w:t>
      </w:r>
      <w:r>
        <w:rPr>
          <w:rFonts w:asciiTheme="minorHAnsi" w:hAnsiTheme="minorHAnsi" w:cstheme="minorBidi"/>
          <w:b w:val="0"/>
          <w:sz w:val="22"/>
        </w:rPr>
        <w:tab/>
      </w:r>
      <w:r>
        <w:t>There is no performance difference is observed for one single-port transmission and two-port diversity for MMSE-IRC receiver</w:t>
      </w:r>
    </w:p>
    <w:p w:rsidR="00C01F33" w:rsidRPr="00CE0424" w:rsidRDefault="002278A0" w:rsidP="00833DB7">
      <w:pPr>
        <w:pStyle w:val="BodyText"/>
      </w:pPr>
      <w:r>
        <w:rPr>
          <w:b/>
          <w:bCs/>
        </w:rPr>
        <w:fldChar w:fldCharType="end"/>
      </w:r>
    </w:p>
    <w:p w:rsidR="00F507D1" w:rsidRPr="00CE0424" w:rsidRDefault="00F507D1" w:rsidP="00CE0424">
      <w:pPr>
        <w:pStyle w:val="Heading1"/>
      </w:pPr>
      <w:bookmarkStart w:id="16" w:name="_In-sequence_SDU_delivery"/>
      <w:bookmarkEnd w:id="16"/>
      <w:r w:rsidRPr="00CE0424">
        <w:t>References</w:t>
      </w:r>
    </w:p>
    <w:p w:rsidR="003A7EF3" w:rsidRDefault="0071044F" w:rsidP="001B53A5">
      <w:pPr>
        <w:pStyle w:val="Reference"/>
      </w:pPr>
      <w:bookmarkStart w:id="17" w:name="_Ref493680723"/>
      <w:bookmarkStart w:id="18" w:name="_Ref174151459"/>
      <w:bookmarkStart w:id="19" w:name="_Ref189809556"/>
      <w:r w:rsidRPr="0071044F">
        <w:t>R1-1715308</w:t>
      </w:r>
      <w:r w:rsidR="005F3025" w:rsidRPr="00CE0424">
        <w:t xml:space="preserve">, </w:t>
      </w:r>
      <w:r w:rsidRPr="0071044F">
        <w:t>LS on transmit diversity for PC5</w:t>
      </w:r>
      <w:r w:rsidR="005F3025" w:rsidRPr="00CE0424">
        <w:t xml:space="preserve">, </w:t>
      </w:r>
      <w:r>
        <w:t>Aug.21~Aug.25, 2017</w:t>
      </w:r>
      <w:bookmarkEnd w:id="17"/>
      <w:bookmarkEnd w:id="18"/>
      <w:bookmarkEnd w:id="19"/>
    </w:p>
    <w:p w:rsidR="00B92067" w:rsidRDefault="00B92067" w:rsidP="00B92067">
      <w:pPr>
        <w:pStyle w:val="Reference"/>
      </w:pPr>
      <w:bookmarkStart w:id="20" w:name="_Ref493843066"/>
      <w:r w:rsidRPr="00B92067">
        <w:t>R1-082500</w:t>
      </w:r>
      <w:r>
        <w:t>, S</w:t>
      </w:r>
      <w:r w:rsidRPr="00B92067">
        <w:t>ingle-carrier property of STBC</w:t>
      </w:r>
      <w:r>
        <w:t xml:space="preserve">, </w:t>
      </w:r>
      <w:r>
        <w:rPr>
          <w:rFonts w:hint="eastAsia"/>
        </w:rPr>
        <w:t>June</w:t>
      </w:r>
      <w:r>
        <w:t xml:space="preserve"> </w:t>
      </w:r>
      <w:r>
        <w:rPr>
          <w:rFonts w:hint="eastAsia"/>
        </w:rPr>
        <w:t>30</w:t>
      </w:r>
      <w:r>
        <w:t xml:space="preserve"> – </w:t>
      </w:r>
      <w:r>
        <w:rPr>
          <w:rFonts w:hint="eastAsia"/>
        </w:rPr>
        <w:t>July 04</w:t>
      </w:r>
      <w:r>
        <w:t>, 200</w:t>
      </w:r>
      <w:r>
        <w:rPr>
          <w:rFonts w:hint="eastAsia"/>
        </w:rPr>
        <w:t>8</w:t>
      </w:r>
      <w:bookmarkEnd w:id="20"/>
    </w:p>
    <w:p w:rsidR="00685315" w:rsidRDefault="00685315" w:rsidP="00685315">
      <w:pPr>
        <w:pStyle w:val="Reference"/>
        <w:rPr>
          <w:lang w:eastAsia="sv-SE"/>
        </w:rPr>
      </w:pPr>
      <w:bookmarkStart w:id="21" w:name="_Ref494461273"/>
      <w:r w:rsidRPr="004C542E">
        <w:rPr>
          <w:lang w:eastAsia="sv-SE"/>
        </w:rPr>
        <w:t>R1-1708558</w:t>
      </w:r>
      <w:r>
        <w:rPr>
          <w:rFonts w:eastAsia="MS Mincho"/>
          <w:iCs/>
          <w:lang w:eastAsia="ja-JP"/>
        </w:rPr>
        <w:t>,</w:t>
      </w:r>
      <w:r w:rsidRPr="004C542E">
        <w:rPr>
          <w:rFonts w:eastAsia="MS Mincho"/>
          <w:iCs/>
          <w:lang w:eastAsia="ja-JP"/>
        </w:rPr>
        <w:tab/>
        <w:t>“</w:t>
      </w:r>
      <w:r w:rsidRPr="004C542E">
        <w:rPr>
          <w:lang w:eastAsia="sv-SE"/>
        </w:rPr>
        <w:t>Transmit diversity schemes for V2X PC5,” Nokia,</w:t>
      </w:r>
      <w:r w:rsidRPr="00AC00AF">
        <w:rPr>
          <w:lang w:eastAsia="sv-SE"/>
        </w:rPr>
        <w:t xml:space="preserve"> Alcatel-Lucent Shanghai</w:t>
      </w:r>
      <w:r w:rsidRPr="00BA6A12">
        <w:rPr>
          <w:lang w:eastAsia="sv-SE"/>
        </w:rPr>
        <w:t xml:space="preserve"> Bell</w:t>
      </w:r>
      <w:bookmarkEnd w:id="21"/>
    </w:p>
    <w:p w:rsidR="00685315" w:rsidRPr="00CE0424" w:rsidRDefault="00685315" w:rsidP="00685315">
      <w:pPr>
        <w:pStyle w:val="Reference"/>
        <w:numPr>
          <w:ilvl w:val="0"/>
          <w:numId w:val="0"/>
        </w:numPr>
        <w:ind w:left="567"/>
      </w:pPr>
    </w:p>
    <w:sectPr w:rsidR="00685315"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38D" w:rsidRDefault="00A6438D">
      <w:r>
        <w:separator/>
      </w:r>
    </w:p>
  </w:endnote>
  <w:endnote w:type="continuationSeparator" w:id="0">
    <w:p w:rsidR="00A6438D" w:rsidRDefault="00A6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CC" w:rsidRDefault="00B849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1C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1CB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38D" w:rsidRDefault="00A6438D">
      <w:r>
        <w:separator/>
      </w:r>
    </w:p>
  </w:footnote>
  <w:footnote w:type="continuationSeparator" w:id="0">
    <w:p w:rsidR="00A6438D" w:rsidRDefault="00A6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CC" w:rsidRDefault="00B849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5DC1B71"/>
    <w:multiLevelType w:val="hybridMultilevel"/>
    <w:tmpl w:val="082E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637345"/>
    <w:multiLevelType w:val="hybridMultilevel"/>
    <w:tmpl w:val="BF1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D3C3E"/>
    <w:multiLevelType w:val="hybridMultilevel"/>
    <w:tmpl w:val="C450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17"/>
  </w:num>
  <w:num w:numId="16">
    <w:abstractNumId w:val="15"/>
  </w:num>
  <w:num w:numId="17">
    <w:abstractNumId w:val="3"/>
  </w:num>
  <w:num w:numId="18">
    <w:abstractNumId w:val="10"/>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C56"/>
    <w:rsid w:val="000006E1"/>
    <w:rsid w:val="00002A37"/>
    <w:rsid w:val="00006446"/>
    <w:rsid w:val="00006896"/>
    <w:rsid w:val="00006B58"/>
    <w:rsid w:val="00007CDC"/>
    <w:rsid w:val="00011B28"/>
    <w:rsid w:val="00015D15"/>
    <w:rsid w:val="000202E9"/>
    <w:rsid w:val="0002564D"/>
    <w:rsid w:val="00025ECA"/>
    <w:rsid w:val="00027939"/>
    <w:rsid w:val="000325B8"/>
    <w:rsid w:val="00034C15"/>
    <w:rsid w:val="00036BA1"/>
    <w:rsid w:val="000422E2"/>
    <w:rsid w:val="00042F22"/>
    <w:rsid w:val="000444EF"/>
    <w:rsid w:val="00052A07"/>
    <w:rsid w:val="000534E3"/>
    <w:rsid w:val="0005606A"/>
    <w:rsid w:val="00057117"/>
    <w:rsid w:val="0006046B"/>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A0C"/>
    <w:rsid w:val="000A1B7B"/>
    <w:rsid w:val="000A51A5"/>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77CAE"/>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E7B82"/>
    <w:rsid w:val="001F3916"/>
    <w:rsid w:val="001F54C5"/>
    <w:rsid w:val="001F662C"/>
    <w:rsid w:val="001F7074"/>
    <w:rsid w:val="001F7347"/>
    <w:rsid w:val="00200490"/>
    <w:rsid w:val="00201F3A"/>
    <w:rsid w:val="00203F96"/>
    <w:rsid w:val="002069B2"/>
    <w:rsid w:val="00207FA3"/>
    <w:rsid w:val="002129CC"/>
    <w:rsid w:val="00214DA8"/>
    <w:rsid w:val="00215423"/>
    <w:rsid w:val="002158FA"/>
    <w:rsid w:val="0021650B"/>
    <w:rsid w:val="00220600"/>
    <w:rsid w:val="002224DB"/>
    <w:rsid w:val="00223FCB"/>
    <w:rsid w:val="002240D1"/>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0772"/>
    <w:rsid w:val="0027144F"/>
    <w:rsid w:val="00271F3A"/>
    <w:rsid w:val="00273278"/>
    <w:rsid w:val="002737F4"/>
    <w:rsid w:val="00273B4E"/>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2C0F"/>
    <w:rsid w:val="002E7CAE"/>
    <w:rsid w:val="002F1E8E"/>
    <w:rsid w:val="002F2771"/>
    <w:rsid w:val="002F37A9"/>
    <w:rsid w:val="00301CE6"/>
    <w:rsid w:val="0030256B"/>
    <w:rsid w:val="0030501F"/>
    <w:rsid w:val="00307BA1"/>
    <w:rsid w:val="00311702"/>
    <w:rsid w:val="00311E82"/>
    <w:rsid w:val="00313C56"/>
    <w:rsid w:val="00313FD6"/>
    <w:rsid w:val="003143BD"/>
    <w:rsid w:val="00317974"/>
    <w:rsid w:val="00317B01"/>
    <w:rsid w:val="003203ED"/>
    <w:rsid w:val="00322C9F"/>
    <w:rsid w:val="00324D23"/>
    <w:rsid w:val="00331751"/>
    <w:rsid w:val="003332E9"/>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5673"/>
    <w:rsid w:val="00377CE1"/>
    <w:rsid w:val="00380703"/>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4AE2"/>
    <w:rsid w:val="003F6BBE"/>
    <w:rsid w:val="004000E8"/>
    <w:rsid w:val="00402128"/>
    <w:rsid w:val="00402E2B"/>
    <w:rsid w:val="0040512B"/>
    <w:rsid w:val="00405CA5"/>
    <w:rsid w:val="00407CD3"/>
    <w:rsid w:val="00410134"/>
    <w:rsid w:val="00410B72"/>
    <w:rsid w:val="00410F18"/>
    <w:rsid w:val="0041263E"/>
    <w:rsid w:val="00413AAC"/>
    <w:rsid w:val="00421105"/>
    <w:rsid w:val="004242F4"/>
    <w:rsid w:val="00427248"/>
    <w:rsid w:val="004300EA"/>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84DEB"/>
    <w:rsid w:val="00490B56"/>
    <w:rsid w:val="00492BC5"/>
    <w:rsid w:val="004964F1"/>
    <w:rsid w:val="00496753"/>
    <w:rsid w:val="004A16BC"/>
    <w:rsid w:val="004A2B94"/>
    <w:rsid w:val="004B4B23"/>
    <w:rsid w:val="004B7C0C"/>
    <w:rsid w:val="004C3898"/>
    <w:rsid w:val="004C4EBC"/>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1117"/>
    <w:rsid w:val="00546970"/>
    <w:rsid w:val="00554E19"/>
    <w:rsid w:val="0056121F"/>
    <w:rsid w:val="005620C9"/>
    <w:rsid w:val="00571DCA"/>
    <w:rsid w:val="00572505"/>
    <w:rsid w:val="00580202"/>
    <w:rsid w:val="00582809"/>
    <w:rsid w:val="0058798C"/>
    <w:rsid w:val="005900FA"/>
    <w:rsid w:val="00590609"/>
    <w:rsid w:val="005935A4"/>
    <w:rsid w:val="005948C2"/>
    <w:rsid w:val="00595DCA"/>
    <w:rsid w:val="0059779B"/>
    <w:rsid w:val="005A209A"/>
    <w:rsid w:val="005A662D"/>
    <w:rsid w:val="005B08E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50B"/>
    <w:rsid w:val="00611B83"/>
    <w:rsid w:val="00613257"/>
    <w:rsid w:val="00620A71"/>
    <w:rsid w:val="00620D80"/>
    <w:rsid w:val="006234A6"/>
    <w:rsid w:val="00624D23"/>
    <w:rsid w:val="00630001"/>
    <w:rsid w:val="006311B3"/>
    <w:rsid w:val="006327C5"/>
    <w:rsid w:val="0063284C"/>
    <w:rsid w:val="00636398"/>
    <w:rsid w:val="00636659"/>
    <w:rsid w:val="006368D3"/>
    <w:rsid w:val="006377EC"/>
    <w:rsid w:val="0064151F"/>
    <w:rsid w:val="00641533"/>
    <w:rsid w:val="0064208D"/>
    <w:rsid w:val="00643475"/>
    <w:rsid w:val="0064396A"/>
    <w:rsid w:val="00645BE1"/>
    <w:rsid w:val="0064624E"/>
    <w:rsid w:val="00650AB9"/>
    <w:rsid w:val="006536B3"/>
    <w:rsid w:val="00655733"/>
    <w:rsid w:val="00655ACD"/>
    <w:rsid w:val="00656A92"/>
    <w:rsid w:val="00656DDE"/>
    <w:rsid w:val="0066011D"/>
    <w:rsid w:val="006607C0"/>
    <w:rsid w:val="006613A6"/>
    <w:rsid w:val="006627A2"/>
    <w:rsid w:val="006634E6"/>
    <w:rsid w:val="00663B0E"/>
    <w:rsid w:val="006655EE"/>
    <w:rsid w:val="00667EE7"/>
    <w:rsid w:val="00670922"/>
    <w:rsid w:val="00670BE1"/>
    <w:rsid w:val="0067218F"/>
    <w:rsid w:val="006741F2"/>
    <w:rsid w:val="006741F9"/>
    <w:rsid w:val="00674CC3"/>
    <w:rsid w:val="00675C72"/>
    <w:rsid w:val="006771F9"/>
    <w:rsid w:val="006776D7"/>
    <w:rsid w:val="00681003"/>
    <w:rsid w:val="006817C9"/>
    <w:rsid w:val="00683ECE"/>
    <w:rsid w:val="00685315"/>
    <w:rsid w:val="006924BE"/>
    <w:rsid w:val="00695FC2"/>
    <w:rsid w:val="00696949"/>
    <w:rsid w:val="00697052"/>
    <w:rsid w:val="006A46FB"/>
    <w:rsid w:val="006A5E28"/>
    <w:rsid w:val="006A697B"/>
    <w:rsid w:val="006A7AFF"/>
    <w:rsid w:val="006B1816"/>
    <w:rsid w:val="006B2099"/>
    <w:rsid w:val="006B23F0"/>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000A"/>
    <w:rsid w:val="0071044F"/>
    <w:rsid w:val="00712287"/>
    <w:rsid w:val="00712772"/>
    <w:rsid w:val="007148D3"/>
    <w:rsid w:val="00715B9A"/>
    <w:rsid w:val="00721593"/>
    <w:rsid w:val="00726EA6"/>
    <w:rsid w:val="00727208"/>
    <w:rsid w:val="00727680"/>
    <w:rsid w:val="007348B1"/>
    <w:rsid w:val="00734B23"/>
    <w:rsid w:val="007362A6"/>
    <w:rsid w:val="00736D7D"/>
    <w:rsid w:val="00736FBF"/>
    <w:rsid w:val="00740E58"/>
    <w:rsid w:val="007417FF"/>
    <w:rsid w:val="0074405B"/>
    <w:rsid w:val="007445A0"/>
    <w:rsid w:val="0074524B"/>
    <w:rsid w:val="00747D8B"/>
    <w:rsid w:val="00751228"/>
    <w:rsid w:val="007571E1"/>
    <w:rsid w:val="007604B2"/>
    <w:rsid w:val="00765281"/>
    <w:rsid w:val="00766BAD"/>
    <w:rsid w:val="007730BD"/>
    <w:rsid w:val="007752EC"/>
    <w:rsid w:val="007755F2"/>
    <w:rsid w:val="00776971"/>
    <w:rsid w:val="0078177E"/>
    <w:rsid w:val="0078304C"/>
    <w:rsid w:val="00783673"/>
    <w:rsid w:val="00785490"/>
    <w:rsid w:val="00791D15"/>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494"/>
    <w:rsid w:val="00807786"/>
    <w:rsid w:val="0081155E"/>
    <w:rsid w:val="00811FCB"/>
    <w:rsid w:val="008158D6"/>
    <w:rsid w:val="00817196"/>
    <w:rsid w:val="00817EDE"/>
    <w:rsid w:val="008235DB"/>
    <w:rsid w:val="00824AB4"/>
    <w:rsid w:val="00825C42"/>
    <w:rsid w:val="00825D25"/>
    <w:rsid w:val="00827D6F"/>
    <w:rsid w:val="00833DB7"/>
    <w:rsid w:val="008376AC"/>
    <w:rsid w:val="008414BD"/>
    <w:rsid w:val="008444E8"/>
    <w:rsid w:val="00844E80"/>
    <w:rsid w:val="00846FE7"/>
    <w:rsid w:val="00850CEC"/>
    <w:rsid w:val="00856911"/>
    <w:rsid w:val="00857EC7"/>
    <w:rsid w:val="008677FD"/>
    <w:rsid w:val="008706D4"/>
    <w:rsid w:val="00870F8A"/>
    <w:rsid w:val="008719A4"/>
    <w:rsid w:val="00871D23"/>
    <w:rsid w:val="00874312"/>
    <w:rsid w:val="0087437C"/>
    <w:rsid w:val="00875CD7"/>
    <w:rsid w:val="00876B4D"/>
    <w:rsid w:val="00877F18"/>
    <w:rsid w:val="00880A2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929"/>
    <w:rsid w:val="008C6AE8"/>
    <w:rsid w:val="008C7573"/>
    <w:rsid w:val="008D34F1"/>
    <w:rsid w:val="008D39D8"/>
    <w:rsid w:val="008D63EB"/>
    <w:rsid w:val="008D6D1A"/>
    <w:rsid w:val="008E065E"/>
    <w:rsid w:val="008E0927"/>
    <w:rsid w:val="008E1909"/>
    <w:rsid w:val="008E428A"/>
    <w:rsid w:val="008F1EAB"/>
    <w:rsid w:val="008F33DC"/>
    <w:rsid w:val="008F477F"/>
    <w:rsid w:val="00902350"/>
    <w:rsid w:val="0090336B"/>
    <w:rsid w:val="009053AA"/>
    <w:rsid w:val="00906939"/>
    <w:rsid w:val="00910847"/>
    <w:rsid w:val="00910B7D"/>
    <w:rsid w:val="00911DFB"/>
    <w:rsid w:val="009139D9"/>
    <w:rsid w:val="00914AD8"/>
    <w:rsid w:val="00916079"/>
    <w:rsid w:val="0091697E"/>
    <w:rsid w:val="00917CE9"/>
    <w:rsid w:val="00920BF2"/>
    <w:rsid w:val="00922010"/>
    <w:rsid w:val="009257A6"/>
    <w:rsid w:val="00931BD9"/>
    <w:rsid w:val="009368F3"/>
    <w:rsid w:val="00941636"/>
    <w:rsid w:val="00943742"/>
    <w:rsid w:val="00945C05"/>
    <w:rsid w:val="00946945"/>
    <w:rsid w:val="00947713"/>
    <w:rsid w:val="00950DE7"/>
    <w:rsid w:val="00953920"/>
    <w:rsid w:val="00953D47"/>
    <w:rsid w:val="0095681E"/>
    <w:rsid w:val="009572D4"/>
    <w:rsid w:val="00960B10"/>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021C"/>
    <w:rsid w:val="009B1DCB"/>
    <w:rsid w:val="009B1F30"/>
    <w:rsid w:val="009B3AC2"/>
    <w:rsid w:val="009B4DF4"/>
    <w:rsid w:val="009B564E"/>
    <w:rsid w:val="009B6D77"/>
    <w:rsid w:val="009B7E87"/>
    <w:rsid w:val="009C3081"/>
    <w:rsid w:val="009C403E"/>
    <w:rsid w:val="009D102A"/>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284"/>
    <w:rsid w:val="00A264A9"/>
    <w:rsid w:val="00A27785"/>
    <w:rsid w:val="00A30187"/>
    <w:rsid w:val="00A3448A"/>
    <w:rsid w:val="00A36297"/>
    <w:rsid w:val="00A36C7F"/>
    <w:rsid w:val="00A41E2B"/>
    <w:rsid w:val="00A45B74"/>
    <w:rsid w:val="00A52E1D"/>
    <w:rsid w:val="00A61499"/>
    <w:rsid w:val="00A62A77"/>
    <w:rsid w:val="00A63483"/>
    <w:rsid w:val="00A6438D"/>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B2F"/>
    <w:rsid w:val="00AB4AB8"/>
    <w:rsid w:val="00AB655E"/>
    <w:rsid w:val="00AC007F"/>
    <w:rsid w:val="00AC2ECD"/>
    <w:rsid w:val="00AC3119"/>
    <w:rsid w:val="00AC49FB"/>
    <w:rsid w:val="00AC5A10"/>
    <w:rsid w:val="00AD0AA3"/>
    <w:rsid w:val="00AD3F94"/>
    <w:rsid w:val="00AD4A5A"/>
    <w:rsid w:val="00AE107D"/>
    <w:rsid w:val="00AE27AC"/>
    <w:rsid w:val="00AE30D5"/>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A92"/>
    <w:rsid w:val="00B2763F"/>
    <w:rsid w:val="00B27AAC"/>
    <w:rsid w:val="00B30929"/>
    <w:rsid w:val="00B372AA"/>
    <w:rsid w:val="00B40445"/>
    <w:rsid w:val="00B41888"/>
    <w:rsid w:val="00B42BDB"/>
    <w:rsid w:val="00B45A52"/>
    <w:rsid w:val="00B46175"/>
    <w:rsid w:val="00B46DD9"/>
    <w:rsid w:val="00B62AAA"/>
    <w:rsid w:val="00B632A8"/>
    <w:rsid w:val="00B664C7"/>
    <w:rsid w:val="00B71CB4"/>
    <w:rsid w:val="00B72EBF"/>
    <w:rsid w:val="00B739F6"/>
    <w:rsid w:val="00B81A6C"/>
    <w:rsid w:val="00B849CC"/>
    <w:rsid w:val="00B85DE5"/>
    <w:rsid w:val="00B90F73"/>
    <w:rsid w:val="00B92067"/>
    <w:rsid w:val="00B93B59"/>
    <w:rsid w:val="00B9406A"/>
    <w:rsid w:val="00BA21B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776"/>
    <w:rsid w:val="00C14D4B"/>
    <w:rsid w:val="00C154BB"/>
    <w:rsid w:val="00C20E9B"/>
    <w:rsid w:val="00C26FAA"/>
    <w:rsid w:val="00C279B5"/>
    <w:rsid w:val="00C27C45"/>
    <w:rsid w:val="00C3719D"/>
    <w:rsid w:val="00C54995"/>
    <w:rsid w:val="00C54D41"/>
    <w:rsid w:val="00C55569"/>
    <w:rsid w:val="00C57E47"/>
    <w:rsid w:val="00C60783"/>
    <w:rsid w:val="00C6277B"/>
    <w:rsid w:val="00C64672"/>
    <w:rsid w:val="00C70094"/>
    <w:rsid w:val="00C70697"/>
    <w:rsid w:val="00C72EF4"/>
    <w:rsid w:val="00C75D2F"/>
    <w:rsid w:val="00C767BE"/>
    <w:rsid w:val="00C76963"/>
    <w:rsid w:val="00C76E3C"/>
    <w:rsid w:val="00C81568"/>
    <w:rsid w:val="00C9027A"/>
    <w:rsid w:val="00C9068E"/>
    <w:rsid w:val="00C93C4B"/>
    <w:rsid w:val="00C944AB"/>
    <w:rsid w:val="00C95B40"/>
    <w:rsid w:val="00CA1DAD"/>
    <w:rsid w:val="00CA1ED8"/>
    <w:rsid w:val="00CB1F63"/>
    <w:rsid w:val="00CB7170"/>
    <w:rsid w:val="00CC040E"/>
    <w:rsid w:val="00CC111F"/>
    <w:rsid w:val="00CC2011"/>
    <w:rsid w:val="00CC3EA0"/>
    <w:rsid w:val="00CC7B45"/>
    <w:rsid w:val="00CD1188"/>
    <w:rsid w:val="00CD2ED1"/>
    <w:rsid w:val="00CD337B"/>
    <w:rsid w:val="00CE0424"/>
    <w:rsid w:val="00CE6280"/>
    <w:rsid w:val="00CE7561"/>
    <w:rsid w:val="00CF1354"/>
    <w:rsid w:val="00CF3B1F"/>
    <w:rsid w:val="00CF3BF6"/>
    <w:rsid w:val="00CF625B"/>
    <w:rsid w:val="00CF687E"/>
    <w:rsid w:val="00D03112"/>
    <w:rsid w:val="00D0349B"/>
    <w:rsid w:val="00D04434"/>
    <w:rsid w:val="00D10249"/>
    <w:rsid w:val="00D115C3"/>
    <w:rsid w:val="00D11897"/>
    <w:rsid w:val="00D13135"/>
    <w:rsid w:val="00D13E4E"/>
    <w:rsid w:val="00D20DB2"/>
    <w:rsid w:val="00D239A7"/>
    <w:rsid w:val="00D23D72"/>
    <w:rsid w:val="00D23F47"/>
    <w:rsid w:val="00D3005B"/>
    <w:rsid w:val="00D307DD"/>
    <w:rsid w:val="00D35D05"/>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5BA3"/>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3C1"/>
    <w:rsid w:val="00E77ADA"/>
    <w:rsid w:val="00E8234C"/>
    <w:rsid w:val="00E83AA9"/>
    <w:rsid w:val="00E85830"/>
    <w:rsid w:val="00E85928"/>
    <w:rsid w:val="00E86F91"/>
    <w:rsid w:val="00E87822"/>
    <w:rsid w:val="00E90395"/>
    <w:rsid w:val="00E90E49"/>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641"/>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E4"/>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66D"/>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F40F5"/>
  <w15:docId w15:val="{52413F53-00AE-41BE-8988-D7E8397F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57E4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57E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57E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7E47"/>
    <w:pPr>
      <w:numPr>
        <w:ilvl w:val="2"/>
      </w:numPr>
      <w:spacing w:before="120"/>
      <w:outlineLvl w:val="2"/>
    </w:pPr>
    <w:rPr>
      <w:sz w:val="28"/>
      <w:szCs w:val="28"/>
    </w:rPr>
  </w:style>
  <w:style w:type="paragraph" w:styleId="Heading4">
    <w:name w:val="heading 4"/>
    <w:basedOn w:val="Heading3"/>
    <w:next w:val="Normal"/>
    <w:qFormat/>
    <w:rsid w:val="00C57E47"/>
    <w:pPr>
      <w:numPr>
        <w:ilvl w:val="3"/>
      </w:numPr>
      <w:outlineLvl w:val="3"/>
    </w:pPr>
    <w:rPr>
      <w:sz w:val="24"/>
      <w:szCs w:val="24"/>
    </w:rPr>
  </w:style>
  <w:style w:type="paragraph" w:styleId="Heading5">
    <w:name w:val="heading 5"/>
    <w:basedOn w:val="Heading4"/>
    <w:next w:val="Normal"/>
    <w:qFormat/>
    <w:rsid w:val="00C57E47"/>
    <w:pPr>
      <w:numPr>
        <w:ilvl w:val="4"/>
      </w:numPr>
      <w:outlineLvl w:val="4"/>
    </w:pPr>
    <w:rPr>
      <w:sz w:val="22"/>
      <w:szCs w:val="22"/>
    </w:rPr>
  </w:style>
  <w:style w:type="paragraph" w:styleId="Heading6">
    <w:name w:val="heading 6"/>
    <w:basedOn w:val="Normal"/>
    <w:next w:val="Normal"/>
    <w:qFormat/>
    <w:rsid w:val="00C57E47"/>
    <w:pPr>
      <w:keepNext/>
      <w:keepLines/>
      <w:numPr>
        <w:ilvl w:val="5"/>
        <w:numId w:val="1"/>
      </w:numPr>
      <w:spacing w:before="120"/>
      <w:outlineLvl w:val="5"/>
    </w:pPr>
    <w:rPr>
      <w:rFonts w:cs="Arial"/>
    </w:rPr>
  </w:style>
  <w:style w:type="paragraph" w:styleId="Heading7">
    <w:name w:val="heading 7"/>
    <w:basedOn w:val="Normal"/>
    <w:next w:val="Normal"/>
    <w:qFormat/>
    <w:rsid w:val="00C57E47"/>
    <w:pPr>
      <w:keepNext/>
      <w:keepLines/>
      <w:numPr>
        <w:ilvl w:val="6"/>
        <w:numId w:val="1"/>
      </w:numPr>
      <w:spacing w:before="120"/>
      <w:outlineLvl w:val="6"/>
    </w:pPr>
    <w:rPr>
      <w:rFonts w:cs="Arial"/>
    </w:rPr>
  </w:style>
  <w:style w:type="paragraph" w:styleId="Heading8">
    <w:name w:val="heading 8"/>
    <w:basedOn w:val="Heading7"/>
    <w:next w:val="Normal"/>
    <w:qFormat/>
    <w:rsid w:val="00C57E47"/>
    <w:pPr>
      <w:numPr>
        <w:ilvl w:val="7"/>
      </w:numPr>
      <w:outlineLvl w:val="7"/>
    </w:pPr>
  </w:style>
  <w:style w:type="paragraph" w:styleId="Heading9">
    <w:name w:val="heading 9"/>
    <w:basedOn w:val="Heading8"/>
    <w:next w:val="Normal"/>
    <w:qFormat/>
    <w:rsid w:val="00C57E47"/>
    <w:pPr>
      <w:numPr>
        <w:ilvl w:val="8"/>
      </w:numPr>
      <w:outlineLvl w:val="8"/>
    </w:pPr>
  </w:style>
  <w:style w:type="character" w:default="1" w:styleId="DefaultParagraphFont">
    <w:name w:val="Default Paragraph Font"/>
    <w:uiPriority w:val="1"/>
    <w:semiHidden/>
    <w:unhideWhenUsed/>
    <w:rsid w:val="00C57E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E47"/>
  </w:style>
  <w:style w:type="paragraph" w:styleId="TOC8">
    <w:name w:val="toc 8"/>
    <w:basedOn w:val="TOC1"/>
    <w:semiHidden/>
    <w:rsid w:val="00C57E47"/>
    <w:pPr>
      <w:spacing w:before="180"/>
      <w:ind w:left="2693" w:hanging="2693"/>
    </w:pPr>
    <w:rPr>
      <w:b w:val="0"/>
      <w:bCs/>
    </w:rPr>
  </w:style>
  <w:style w:type="paragraph" w:styleId="TOC1">
    <w:name w:val="toc 1"/>
    <w:aliases w:val="Observation TOC2"/>
    <w:uiPriority w:val="39"/>
    <w:rsid w:val="00C57E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57E47"/>
    <w:pPr>
      <w:keepNext/>
      <w:keepLines/>
      <w:spacing w:before="180"/>
      <w:jc w:val="center"/>
    </w:pPr>
  </w:style>
  <w:style w:type="paragraph" w:styleId="Caption">
    <w:name w:val="caption"/>
    <w:basedOn w:val="Normal"/>
    <w:next w:val="Normal"/>
    <w:qFormat/>
    <w:rsid w:val="00C57E47"/>
    <w:pPr>
      <w:spacing w:after="240"/>
      <w:jc w:val="center"/>
    </w:pPr>
    <w:rPr>
      <w:b/>
      <w:bCs/>
    </w:rPr>
  </w:style>
  <w:style w:type="paragraph" w:styleId="TOC5">
    <w:name w:val="toc 5"/>
    <w:aliases w:val="Observation TOC"/>
    <w:basedOn w:val="TOC4"/>
    <w:semiHidden/>
    <w:rsid w:val="00C57E47"/>
    <w:pPr>
      <w:tabs>
        <w:tab w:val="right" w:pos="1701"/>
      </w:tabs>
      <w:ind w:left="1701" w:hanging="1701"/>
    </w:pPr>
  </w:style>
  <w:style w:type="paragraph" w:styleId="TOC4">
    <w:name w:val="toc 4"/>
    <w:basedOn w:val="TOC3"/>
    <w:semiHidden/>
    <w:rsid w:val="00C57E47"/>
    <w:pPr>
      <w:ind w:left="1418" w:hanging="1418"/>
    </w:pPr>
  </w:style>
  <w:style w:type="paragraph" w:styleId="TOC3">
    <w:name w:val="toc 3"/>
    <w:basedOn w:val="TOC2"/>
    <w:semiHidden/>
    <w:rsid w:val="00C57E47"/>
    <w:pPr>
      <w:ind w:left="1134" w:hanging="1134"/>
    </w:pPr>
  </w:style>
  <w:style w:type="paragraph" w:styleId="TOC2">
    <w:name w:val="toc 2"/>
    <w:basedOn w:val="TOC1"/>
    <w:semiHidden/>
    <w:rsid w:val="00C57E47"/>
    <w:pPr>
      <w:keepNext w:val="0"/>
      <w:spacing w:before="0"/>
      <w:ind w:left="851" w:hanging="851"/>
    </w:pPr>
    <w:rPr>
      <w:szCs w:val="20"/>
    </w:rPr>
  </w:style>
  <w:style w:type="paragraph" w:styleId="Index2">
    <w:name w:val="index 2"/>
    <w:basedOn w:val="Index1"/>
    <w:semiHidden/>
    <w:rsid w:val="00C57E47"/>
    <w:pPr>
      <w:ind w:left="284"/>
    </w:pPr>
  </w:style>
  <w:style w:type="paragraph" w:styleId="Index1">
    <w:name w:val="index 1"/>
    <w:basedOn w:val="Normal"/>
    <w:semiHidden/>
    <w:rsid w:val="00C57E47"/>
    <w:pPr>
      <w:keepLines/>
      <w:spacing w:after="0"/>
    </w:pPr>
  </w:style>
  <w:style w:type="paragraph" w:styleId="DocumentMap">
    <w:name w:val="Document Map"/>
    <w:basedOn w:val="Normal"/>
    <w:semiHidden/>
    <w:rsid w:val="00C57E47"/>
    <w:pPr>
      <w:shd w:val="clear" w:color="auto" w:fill="000080"/>
    </w:pPr>
    <w:rPr>
      <w:rFonts w:ascii="Tahoma" w:hAnsi="Tahoma" w:cs="Tahoma"/>
    </w:rPr>
  </w:style>
  <w:style w:type="paragraph" w:styleId="ListNumber2">
    <w:name w:val="List Number 2"/>
    <w:basedOn w:val="ListNumber"/>
    <w:rsid w:val="00C57E47"/>
    <w:pPr>
      <w:ind w:left="851"/>
    </w:pPr>
  </w:style>
  <w:style w:type="paragraph" w:styleId="ListNumber">
    <w:name w:val="List Number"/>
    <w:basedOn w:val="List"/>
    <w:rsid w:val="00C57E47"/>
  </w:style>
  <w:style w:type="paragraph" w:styleId="List">
    <w:name w:val="List"/>
    <w:basedOn w:val="Normal"/>
    <w:rsid w:val="00C57E47"/>
    <w:pPr>
      <w:ind w:left="568" w:hanging="284"/>
    </w:pPr>
  </w:style>
  <w:style w:type="paragraph" w:styleId="Header">
    <w:name w:val="header"/>
    <w:rsid w:val="00C57E4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57E47"/>
    <w:rPr>
      <w:b/>
      <w:bCs/>
      <w:position w:val="6"/>
      <w:sz w:val="16"/>
      <w:szCs w:val="16"/>
    </w:rPr>
  </w:style>
  <w:style w:type="paragraph" w:styleId="FootnoteText">
    <w:name w:val="footnote text"/>
    <w:basedOn w:val="Normal"/>
    <w:semiHidden/>
    <w:rsid w:val="00C57E47"/>
    <w:pPr>
      <w:keepLines/>
      <w:spacing w:after="0"/>
      <w:ind w:left="454" w:hanging="454"/>
    </w:pPr>
    <w:rPr>
      <w:sz w:val="16"/>
      <w:szCs w:val="16"/>
    </w:rPr>
  </w:style>
  <w:style w:type="paragraph" w:customStyle="1" w:styleId="3GPPHeader">
    <w:name w:val="3GPP_Header"/>
    <w:basedOn w:val="Normal"/>
    <w:rsid w:val="00C57E47"/>
    <w:pPr>
      <w:tabs>
        <w:tab w:val="left" w:pos="1701"/>
        <w:tab w:val="right" w:pos="9639"/>
      </w:tabs>
      <w:spacing w:after="240"/>
    </w:pPr>
    <w:rPr>
      <w:b/>
      <w:sz w:val="24"/>
    </w:rPr>
  </w:style>
  <w:style w:type="paragraph" w:styleId="TOC9">
    <w:name w:val="toc 9"/>
    <w:basedOn w:val="TOC8"/>
    <w:semiHidden/>
    <w:rsid w:val="00C57E47"/>
    <w:pPr>
      <w:ind w:left="1418" w:hanging="1418"/>
    </w:pPr>
  </w:style>
  <w:style w:type="paragraph" w:styleId="TOC6">
    <w:name w:val="toc 6"/>
    <w:basedOn w:val="TOC5"/>
    <w:next w:val="Normal"/>
    <w:semiHidden/>
    <w:rsid w:val="00C57E47"/>
    <w:pPr>
      <w:ind w:left="1985" w:hanging="1985"/>
    </w:pPr>
  </w:style>
  <w:style w:type="paragraph" w:styleId="TOC7">
    <w:name w:val="toc 7"/>
    <w:basedOn w:val="TOC6"/>
    <w:next w:val="Normal"/>
    <w:semiHidden/>
    <w:rsid w:val="00C57E47"/>
    <w:pPr>
      <w:ind w:left="2268" w:hanging="2268"/>
    </w:pPr>
  </w:style>
  <w:style w:type="paragraph" w:styleId="ListBullet2">
    <w:name w:val="List Bullet 2"/>
    <w:basedOn w:val="ListBullet"/>
    <w:rsid w:val="00C57E47"/>
    <w:pPr>
      <w:numPr>
        <w:numId w:val="6"/>
      </w:numPr>
    </w:pPr>
  </w:style>
  <w:style w:type="paragraph" w:styleId="ListBullet">
    <w:name w:val="List Bullet"/>
    <w:basedOn w:val="BodyText"/>
    <w:rsid w:val="00C57E47"/>
    <w:pPr>
      <w:numPr>
        <w:numId w:val="5"/>
      </w:numPr>
    </w:pPr>
  </w:style>
  <w:style w:type="paragraph" w:styleId="ListBullet3">
    <w:name w:val="List Bullet 3"/>
    <w:basedOn w:val="ListBullet2"/>
    <w:rsid w:val="00C57E47"/>
    <w:pPr>
      <w:numPr>
        <w:numId w:val="7"/>
      </w:numPr>
    </w:pPr>
  </w:style>
  <w:style w:type="paragraph" w:customStyle="1" w:styleId="EQ">
    <w:name w:val="EQ"/>
    <w:basedOn w:val="Normal"/>
    <w:next w:val="Normal"/>
    <w:rsid w:val="00C57E47"/>
    <w:pPr>
      <w:keepLines/>
      <w:tabs>
        <w:tab w:val="center" w:pos="4536"/>
        <w:tab w:val="right" w:pos="9072"/>
      </w:tabs>
      <w:spacing w:after="180"/>
      <w:jc w:val="left"/>
    </w:pPr>
    <w:rPr>
      <w:noProof/>
      <w:lang w:eastAsia="en-US"/>
    </w:rPr>
  </w:style>
  <w:style w:type="paragraph" w:styleId="List2">
    <w:name w:val="List 2"/>
    <w:basedOn w:val="List"/>
    <w:rsid w:val="00C57E47"/>
    <w:pPr>
      <w:ind w:left="851"/>
    </w:pPr>
  </w:style>
  <w:style w:type="paragraph" w:styleId="List3">
    <w:name w:val="List 3"/>
    <w:basedOn w:val="List2"/>
    <w:rsid w:val="00C57E47"/>
    <w:pPr>
      <w:ind w:left="1135"/>
    </w:pPr>
  </w:style>
  <w:style w:type="paragraph" w:styleId="List4">
    <w:name w:val="List 4"/>
    <w:basedOn w:val="List3"/>
    <w:rsid w:val="00C57E47"/>
    <w:pPr>
      <w:ind w:left="1418"/>
    </w:pPr>
  </w:style>
  <w:style w:type="paragraph" w:styleId="List5">
    <w:name w:val="List 5"/>
    <w:basedOn w:val="List4"/>
    <w:rsid w:val="00C57E47"/>
    <w:pPr>
      <w:ind w:left="1702"/>
    </w:pPr>
  </w:style>
  <w:style w:type="paragraph" w:customStyle="1" w:styleId="EditorsNote">
    <w:name w:val="Editor's Note"/>
    <w:basedOn w:val="Normal"/>
    <w:rsid w:val="00C57E47"/>
    <w:pPr>
      <w:keepLines/>
      <w:spacing w:after="180"/>
      <w:ind w:left="1135" w:hanging="851"/>
      <w:jc w:val="left"/>
    </w:pPr>
    <w:rPr>
      <w:color w:val="FF0000"/>
      <w:lang w:eastAsia="en-US"/>
    </w:rPr>
  </w:style>
  <w:style w:type="paragraph" w:styleId="ListBullet4">
    <w:name w:val="List Bullet 4"/>
    <w:basedOn w:val="ListBullet3"/>
    <w:rsid w:val="00C57E47"/>
    <w:pPr>
      <w:numPr>
        <w:numId w:val="8"/>
      </w:numPr>
    </w:pPr>
  </w:style>
  <w:style w:type="paragraph" w:styleId="ListBullet5">
    <w:name w:val="List Bullet 5"/>
    <w:basedOn w:val="ListBullet4"/>
    <w:rsid w:val="00C57E47"/>
    <w:pPr>
      <w:numPr>
        <w:numId w:val="4"/>
      </w:numPr>
    </w:pPr>
  </w:style>
  <w:style w:type="paragraph" w:styleId="Footer">
    <w:name w:val="footer"/>
    <w:basedOn w:val="Header"/>
    <w:semiHidden/>
    <w:rsid w:val="00C57E47"/>
    <w:pPr>
      <w:jc w:val="center"/>
    </w:pPr>
    <w:rPr>
      <w:i/>
      <w:iCs/>
    </w:rPr>
  </w:style>
  <w:style w:type="paragraph" w:customStyle="1" w:styleId="Reference">
    <w:name w:val="Reference"/>
    <w:basedOn w:val="Normal"/>
    <w:qFormat/>
    <w:rsid w:val="00C57E47"/>
    <w:pPr>
      <w:numPr>
        <w:numId w:val="2"/>
      </w:numPr>
    </w:pPr>
  </w:style>
  <w:style w:type="paragraph" w:styleId="BalloonText">
    <w:name w:val="Balloon Text"/>
    <w:basedOn w:val="Normal"/>
    <w:semiHidden/>
    <w:rsid w:val="00C57E47"/>
    <w:rPr>
      <w:rFonts w:ascii="Tahoma" w:hAnsi="Tahoma" w:cs="Tahoma"/>
      <w:sz w:val="16"/>
      <w:szCs w:val="16"/>
    </w:rPr>
  </w:style>
  <w:style w:type="character" w:styleId="PageNumber">
    <w:name w:val="page number"/>
    <w:semiHidden/>
    <w:rsid w:val="00C57E47"/>
  </w:style>
  <w:style w:type="paragraph" w:styleId="BodyText">
    <w:name w:val="Body Text"/>
    <w:basedOn w:val="Normal"/>
    <w:link w:val="BodyTextChar"/>
    <w:rsid w:val="00C57E47"/>
  </w:style>
  <w:style w:type="character" w:styleId="Hyperlink">
    <w:name w:val="Hyperlink"/>
    <w:uiPriority w:val="99"/>
    <w:rsid w:val="00C57E47"/>
    <w:rPr>
      <w:color w:val="0000FF"/>
      <w:u w:val="single"/>
      <w:lang w:val="en-GB"/>
    </w:rPr>
  </w:style>
  <w:style w:type="character" w:styleId="FollowedHyperlink">
    <w:name w:val="FollowedHyperlink"/>
    <w:semiHidden/>
    <w:rsid w:val="00C57E47"/>
    <w:rPr>
      <w:color w:val="FF0000"/>
      <w:u w:val="single"/>
    </w:rPr>
  </w:style>
  <w:style w:type="character" w:styleId="CommentReference">
    <w:name w:val="annotation reference"/>
    <w:semiHidden/>
    <w:rsid w:val="00C57E47"/>
    <w:rPr>
      <w:sz w:val="16"/>
      <w:szCs w:val="16"/>
    </w:rPr>
  </w:style>
  <w:style w:type="paragraph" w:styleId="CommentText">
    <w:name w:val="annotation text"/>
    <w:basedOn w:val="Normal"/>
    <w:semiHidden/>
    <w:rsid w:val="00C57E47"/>
  </w:style>
  <w:style w:type="paragraph" w:styleId="CommentSubject">
    <w:name w:val="annotation subject"/>
    <w:basedOn w:val="CommentText"/>
    <w:next w:val="CommentText"/>
    <w:semiHidden/>
    <w:rsid w:val="00C57E47"/>
    <w:rPr>
      <w:b/>
      <w:bCs/>
    </w:rPr>
  </w:style>
  <w:style w:type="character" w:customStyle="1" w:styleId="Heading1Char">
    <w:name w:val="Heading 1 Char"/>
    <w:link w:val="Heading1"/>
    <w:rsid w:val="00C57E47"/>
    <w:rPr>
      <w:rFonts w:ascii="Arial" w:hAnsi="Arial" w:cs="Arial"/>
      <w:sz w:val="36"/>
      <w:szCs w:val="36"/>
      <w:lang w:val="en-GB"/>
    </w:rPr>
  </w:style>
  <w:style w:type="paragraph" w:customStyle="1" w:styleId="B1">
    <w:name w:val="B1"/>
    <w:basedOn w:val="List"/>
    <w:link w:val="B10"/>
    <w:qFormat/>
    <w:rsid w:val="00C57E47"/>
    <w:pPr>
      <w:spacing w:after="180"/>
      <w:jc w:val="left"/>
    </w:pPr>
    <w:rPr>
      <w:lang w:eastAsia="en-US"/>
    </w:rPr>
  </w:style>
  <w:style w:type="paragraph" w:customStyle="1" w:styleId="B2">
    <w:name w:val="B2"/>
    <w:basedOn w:val="List2"/>
    <w:qFormat/>
    <w:rsid w:val="00C57E47"/>
    <w:pPr>
      <w:spacing w:after="180"/>
      <w:jc w:val="left"/>
    </w:pPr>
    <w:rPr>
      <w:lang w:eastAsia="en-US"/>
    </w:rPr>
  </w:style>
  <w:style w:type="paragraph" w:customStyle="1" w:styleId="B3">
    <w:name w:val="B3"/>
    <w:basedOn w:val="List3"/>
    <w:qFormat/>
    <w:rsid w:val="00C57E47"/>
    <w:pPr>
      <w:spacing w:after="180"/>
      <w:jc w:val="left"/>
    </w:pPr>
    <w:rPr>
      <w:lang w:eastAsia="en-US"/>
    </w:rPr>
  </w:style>
  <w:style w:type="paragraph" w:customStyle="1" w:styleId="B4">
    <w:name w:val="B4"/>
    <w:basedOn w:val="List4"/>
    <w:qFormat/>
    <w:rsid w:val="00C57E47"/>
    <w:pPr>
      <w:spacing w:after="180"/>
      <w:jc w:val="left"/>
    </w:pPr>
    <w:rPr>
      <w:lang w:eastAsia="en-US"/>
    </w:rPr>
  </w:style>
  <w:style w:type="paragraph" w:customStyle="1" w:styleId="Proposal">
    <w:name w:val="Proposal"/>
    <w:basedOn w:val="Normal"/>
    <w:qFormat/>
    <w:rsid w:val="00C57E47"/>
    <w:pPr>
      <w:numPr>
        <w:numId w:val="3"/>
      </w:numPr>
      <w:tabs>
        <w:tab w:val="clear" w:pos="1304"/>
        <w:tab w:val="left" w:pos="1701"/>
      </w:tabs>
      <w:ind w:left="1701" w:hanging="1701"/>
    </w:pPr>
    <w:rPr>
      <w:b/>
      <w:bCs/>
    </w:rPr>
  </w:style>
  <w:style w:type="character" w:customStyle="1" w:styleId="BodyTextChar">
    <w:name w:val="Body Text Char"/>
    <w:link w:val="BodyText"/>
    <w:rsid w:val="00C57E47"/>
    <w:rPr>
      <w:rFonts w:ascii="Arial" w:hAnsi="Arial"/>
      <w:lang w:val="en-GB"/>
    </w:rPr>
  </w:style>
  <w:style w:type="paragraph" w:customStyle="1" w:styleId="B5">
    <w:name w:val="B5"/>
    <w:basedOn w:val="List5"/>
    <w:rsid w:val="00C57E47"/>
    <w:pPr>
      <w:spacing w:after="180"/>
      <w:jc w:val="left"/>
    </w:pPr>
    <w:rPr>
      <w:lang w:eastAsia="en-US"/>
    </w:rPr>
  </w:style>
  <w:style w:type="paragraph" w:customStyle="1" w:styleId="EX">
    <w:name w:val="EX"/>
    <w:basedOn w:val="Normal"/>
    <w:rsid w:val="00C57E47"/>
    <w:pPr>
      <w:keepLines/>
      <w:spacing w:after="180"/>
      <w:ind w:left="1702" w:hanging="1418"/>
      <w:jc w:val="left"/>
    </w:pPr>
    <w:rPr>
      <w:lang w:eastAsia="en-US"/>
    </w:rPr>
  </w:style>
  <w:style w:type="paragraph" w:customStyle="1" w:styleId="EW">
    <w:name w:val="EW"/>
    <w:basedOn w:val="EX"/>
    <w:rsid w:val="00C57E47"/>
    <w:pPr>
      <w:spacing w:after="0"/>
    </w:pPr>
  </w:style>
  <w:style w:type="paragraph" w:customStyle="1" w:styleId="TAL">
    <w:name w:val="TAL"/>
    <w:basedOn w:val="Normal"/>
    <w:rsid w:val="00C57E47"/>
    <w:pPr>
      <w:keepNext/>
      <w:keepLines/>
      <w:spacing w:after="0"/>
      <w:jc w:val="left"/>
    </w:pPr>
    <w:rPr>
      <w:sz w:val="18"/>
      <w:lang w:eastAsia="en-US"/>
    </w:rPr>
  </w:style>
  <w:style w:type="paragraph" w:customStyle="1" w:styleId="TAC">
    <w:name w:val="TAC"/>
    <w:basedOn w:val="TAL"/>
    <w:rsid w:val="00C57E47"/>
    <w:pPr>
      <w:jc w:val="center"/>
    </w:pPr>
  </w:style>
  <w:style w:type="paragraph" w:customStyle="1" w:styleId="TAH">
    <w:name w:val="TAH"/>
    <w:basedOn w:val="TAC"/>
    <w:rsid w:val="00C57E47"/>
    <w:rPr>
      <w:b/>
    </w:rPr>
  </w:style>
  <w:style w:type="paragraph" w:customStyle="1" w:styleId="TAN">
    <w:name w:val="TAN"/>
    <w:basedOn w:val="TAL"/>
    <w:rsid w:val="00C57E47"/>
    <w:pPr>
      <w:ind w:left="851" w:hanging="851"/>
    </w:pPr>
  </w:style>
  <w:style w:type="paragraph" w:customStyle="1" w:styleId="TAR">
    <w:name w:val="TAR"/>
    <w:basedOn w:val="TAL"/>
    <w:rsid w:val="00C57E47"/>
    <w:pPr>
      <w:jc w:val="right"/>
    </w:pPr>
  </w:style>
  <w:style w:type="paragraph" w:customStyle="1" w:styleId="TH">
    <w:name w:val="TH"/>
    <w:basedOn w:val="Normal"/>
    <w:rsid w:val="00C57E47"/>
    <w:pPr>
      <w:keepNext/>
      <w:keepLines/>
      <w:spacing w:before="60" w:after="180"/>
      <w:jc w:val="center"/>
    </w:pPr>
    <w:rPr>
      <w:b/>
      <w:lang w:eastAsia="en-US"/>
    </w:rPr>
  </w:style>
  <w:style w:type="paragraph" w:customStyle="1" w:styleId="TF">
    <w:name w:val="TF"/>
    <w:basedOn w:val="TH"/>
    <w:rsid w:val="00C57E47"/>
    <w:pPr>
      <w:keepNext w:val="0"/>
      <w:spacing w:before="0" w:after="240"/>
    </w:pPr>
  </w:style>
  <w:style w:type="paragraph" w:customStyle="1" w:styleId="TT">
    <w:name w:val="TT"/>
    <w:basedOn w:val="Heading1"/>
    <w:next w:val="Normal"/>
    <w:rsid w:val="00C57E47"/>
    <w:pPr>
      <w:numPr>
        <w:numId w:val="0"/>
      </w:numPr>
      <w:ind w:left="1134" w:hanging="1134"/>
      <w:outlineLvl w:val="9"/>
    </w:pPr>
    <w:rPr>
      <w:rFonts w:cs="Times New Roman"/>
      <w:szCs w:val="20"/>
      <w:lang w:eastAsia="en-US"/>
    </w:rPr>
  </w:style>
  <w:style w:type="paragraph" w:customStyle="1" w:styleId="ZA">
    <w:name w:val="ZA"/>
    <w:rsid w:val="00C57E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7E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7E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7E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7E47"/>
  </w:style>
  <w:style w:type="paragraph" w:customStyle="1" w:styleId="ZH">
    <w:name w:val="ZH"/>
    <w:rsid w:val="00C57E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7E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7E47"/>
    <w:pPr>
      <w:framePr w:hRule="auto" w:wrap="notBeside" w:y="852"/>
    </w:pPr>
    <w:rPr>
      <w:i w:val="0"/>
      <w:sz w:val="40"/>
    </w:rPr>
  </w:style>
  <w:style w:type="paragraph" w:customStyle="1" w:styleId="ZU">
    <w:name w:val="ZU"/>
    <w:rsid w:val="00C57E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7E47"/>
    <w:pPr>
      <w:framePr w:wrap="notBeside" w:y="16161"/>
    </w:pPr>
  </w:style>
  <w:style w:type="paragraph" w:customStyle="1" w:styleId="FP">
    <w:name w:val="FP"/>
    <w:basedOn w:val="Normal"/>
    <w:rsid w:val="00C57E47"/>
    <w:pPr>
      <w:spacing w:after="0"/>
      <w:jc w:val="left"/>
    </w:pPr>
    <w:rPr>
      <w:lang w:eastAsia="en-US"/>
    </w:rPr>
  </w:style>
  <w:style w:type="paragraph" w:customStyle="1" w:styleId="Observation">
    <w:name w:val="Observation"/>
    <w:basedOn w:val="Proposal"/>
    <w:qFormat/>
    <w:rsid w:val="00C57E47"/>
    <w:pPr>
      <w:numPr>
        <w:numId w:val="13"/>
      </w:numPr>
      <w:ind w:left="1701" w:hanging="1701"/>
    </w:pPr>
  </w:style>
  <w:style w:type="paragraph" w:styleId="TableofFigures">
    <w:name w:val="table of figures"/>
    <w:basedOn w:val="Normal"/>
    <w:next w:val="Normal"/>
    <w:uiPriority w:val="99"/>
    <w:rsid w:val="00C57E47"/>
    <w:pPr>
      <w:ind w:left="1418" w:hanging="1418"/>
      <w:jc w:val="left"/>
    </w:pPr>
    <w:rPr>
      <w:b/>
    </w:rPr>
  </w:style>
  <w:style w:type="paragraph" w:customStyle="1" w:styleId="CRCoverPage">
    <w:name w:val="CR Cover Page"/>
    <w:rsid w:val="00C57E47"/>
    <w:pPr>
      <w:spacing w:after="120"/>
    </w:pPr>
    <w:rPr>
      <w:rFonts w:ascii="Arial" w:hAnsi="Arial"/>
      <w:lang w:val="en-GB" w:eastAsia="en-US"/>
    </w:rPr>
  </w:style>
  <w:style w:type="paragraph" w:styleId="ListParagraph">
    <w:name w:val="List Paragraph"/>
    <w:basedOn w:val="Normal"/>
    <w:uiPriority w:val="34"/>
    <w:qFormat/>
    <w:rsid w:val="00AE107D"/>
    <w:pPr>
      <w:overflowPunct/>
      <w:autoSpaceDE/>
      <w:autoSpaceDN/>
      <w:adjustRightInd/>
      <w:spacing w:after="0"/>
      <w:ind w:firstLine="420"/>
      <w:jc w:val="left"/>
      <w:textAlignment w:val="auto"/>
    </w:pPr>
    <w:rPr>
      <w:rFonts w:ascii="宋体" w:eastAsia="宋体" w:hAnsi="宋体"/>
      <w:sz w:val="24"/>
      <w:szCs w:val="24"/>
      <w:lang w:val="en-US" w:eastAsia="en-US"/>
    </w:rPr>
  </w:style>
  <w:style w:type="character" w:customStyle="1" w:styleId="B10">
    <w:name w:val="B1 (文字)"/>
    <w:link w:val="B1"/>
    <w:locked/>
    <w:rsid w:val="00490B56"/>
    <w:rPr>
      <w:rFonts w:ascii="Arial" w:hAnsi="Arial"/>
      <w:lang w:val="en-GB" w:eastAsia="en-US"/>
    </w:rPr>
  </w:style>
  <w:style w:type="table" w:styleId="TableGrid">
    <w:name w:val="Table Grid"/>
    <w:basedOn w:val="TableNormal"/>
    <w:rsid w:val="00806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A0DEF-4AEE-454E-9293-9E74BA0B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756</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8</dc:creator>
  <cp:keywords>3GPP; Ericsson; TDoc</cp:keywords>
  <cp:lastModifiedBy>Shaohua Li 8</cp:lastModifiedBy>
  <cp:revision>65</cp:revision>
  <cp:lastPrinted>2008-01-31T06:09:00Z</cp:lastPrinted>
  <dcterms:created xsi:type="dcterms:W3CDTF">2017-09-20T05:55:00Z</dcterms:created>
  <dcterms:modified xsi:type="dcterms:W3CDTF">2017-10-01T13:48:00Z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